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360" w:lineRule="auto"/>
        <w:jc w:val="center"/>
        <w:rPr>
          <w:rFonts w:hint="eastAsia"/>
          <w:b/>
          <w:bCs/>
          <w:sz w:val="52"/>
          <w:szCs w:val="52"/>
        </w:rPr>
      </w:pPr>
    </w:p>
    <w:p>
      <w:pPr>
        <w:spacing w:line="360" w:lineRule="auto"/>
        <w:jc w:val="center"/>
        <w:rPr>
          <w:rFonts w:hint="eastAsia"/>
          <w:b/>
          <w:sz w:val="52"/>
          <w:szCs w:val="52"/>
        </w:rPr>
      </w:pPr>
      <w:r>
        <w:rPr>
          <w:rFonts w:hint="eastAsia"/>
          <w:b/>
          <w:sz w:val="52"/>
          <w:szCs w:val="52"/>
        </w:rPr>
        <w:t>萧县</w:t>
      </w:r>
      <w:r>
        <w:rPr>
          <w:b/>
          <w:sz w:val="52"/>
          <w:szCs w:val="52"/>
        </w:rPr>
        <w:t>S301延伸线下穿符夹铁路立交工程</w:t>
      </w:r>
    </w:p>
    <w:p>
      <w:pPr>
        <w:spacing w:line="360" w:lineRule="auto"/>
        <w:jc w:val="center"/>
        <w:rPr>
          <w:rFonts w:hint="eastAsia"/>
          <w:b/>
          <w:sz w:val="52"/>
          <w:szCs w:val="52"/>
        </w:rPr>
      </w:pPr>
      <w:r>
        <w:rPr>
          <w:b/>
          <w:sz w:val="52"/>
          <w:szCs w:val="52"/>
        </w:rPr>
        <w:t>代建合同价审计咨询服务机构</w:t>
      </w:r>
    </w:p>
    <w:p>
      <w:pPr>
        <w:spacing w:line="360" w:lineRule="auto"/>
        <w:jc w:val="center"/>
        <w:rPr>
          <w:rFonts w:hint="eastAsia"/>
          <w:b/>
          <w:sz w:val="52"/>
          <w:szCs w:val="52"/>
        </w:rPr>
      </w:pPr>
      <w:r>
        <w:rPr>
          <w:rFonts w:hint="eastAsia"/>
          <w:b/>
          <w:sz w:val="52"/>
          <w:szCs w:val="52"/>
        </w:rPr>
        <w:t>协议书</w:t>
      </w:r>
    </w:p>
    <w:p>
      <w:pPr>
        <w:spacing w:line="480" w:lineRule="auto"/>
        <w:ind w:firstLine="600"/>
        <w:jc w:val="center"/>
        <w:rPr>
          <w:sz w:val="32"/>
          <w:szCs w:val="32"/>
        </w:rPr>
      </w:pPr>
    </w:p>
    <w:p>
      <w:pPr>
        <w:spacing w:line="480" w:lineRule="auto"/>
        <w:ind w:firstLine="600"/>
        <w:rPr>
          <w:rFonts w:hint="eastAsia" w:ascii="Arial Narrow" w:hAnsi="Arial Narrow" w:eastAsia="楷体_GB2312"/>
          <w:sz w:val="24"/>
        </w:rPr>
      </w:pPr>
    </w:p>
    <w:p>
      <w:pPr>
        <w:spacing w:line="480" w:lineRule="auto"/>
        <w:ind w:firstLine="600"/>
        <w:rPr>
          <w:rFonts w:hint="eastAsia" w:ascii="Arial Narrow" w:hAnsi="Arial Narrow" w:eastAsia="楷体_GB2312"/>
          <w:sz w:val="24"/>
        </w:rPr>
      </w:pPr>
      <w:r>
        <w:rPr>
          <w:rFonts w:ascii="Arial Narrow" w:hAnsi="Arial Narrow" w:eastAsia="楷体_GB2312"/>
          <w:sz w:val="24"/>
        </w:rPr>
        <w:t xml:space="preserve">  </w:t>
      </w:r>
    </w:p>
    <w:p>
      <w:pPr>
        <w:spacing w:line="480" w:lineRule="auto"/>
        <w:ind w:firstLine="600"/>
        <w:rPr>
          <w:rFonts w:ascii="Arial Narrow" w:hAnsi="Arial Narrow" w:eastAsia="楷体_GB2312"/>
          <w:sz w:val="24"/>
        </w:rPr>
      </w:pPr>
    </w:p>
    <w:p>
      <w:pPr>
        <w:spacing w:line="480" w:lineRule="auto"/>
        <w:rPr>
          <w:rFonts w:ascii="Arial Narrow" w:hAnsi="Arial Narrow" w:eastAsia="楷体_GB2312"/>
          <w:sz w:val="24"/>
        </w:rPr>
      </w:pPr>
    </w:p>
    <w:p>
      <w:pPr>
        <w:snapToGrid w:val="0"/>
        <w:spacing w:line="480" w:lineRule="auto"/>
        <w:ind w:firstLine="700" w:firstLineChars="250"/>
        <w:rPr>
          <w:rFonts w:hint="eastAsia" w:ascii="黑体" w:hAnsi="Arial Narrow" w:eastAsia="黑体"/>
        </w:rPr>
      </w:pPr>
    </w:p>
    <w:p>
      <w:pPr>
        <w:snapToGrid w:val="0"/>
        <w:spacing w:line="480" w:lineRule="auto"/>
        <w:ind w:firstLine="560" w:firstLineChars="200"/>
        <w:rPr>
          <w:rFonts w:hint="eastAsia" w:ascii="黑体" w:hAnsi="Arial Narrow" w:eastAsia="黑体"/>
          <w:u w:val="single"/>
        </w:rPr>
      </w:pPr>
    </w:p>
    <w:p>
      <w:pPr>
        <w:snapToGrid w:val="0"/>
        <w:spacing w:line="480" w:lineRule="auto"/>
        <w:ind w:firstLine="1120" w:firstLineChars="400"/>
        <w:rPr>
          <w:rFonts w:hint="eastAsia" w:ascii="黑体" w:eastAsia="黑体"/>
          <w:spacing w:val="38"/>
          <w:sz w:val="30"/>
          <w:szCs w:val="30"/>
          <w:u w:val="single"/>
        </w:rPr>
      </w:pPr>
      <w:r>
        <w:rPr>
          <w:rFonts w:hint="eastAsia" w:ascii="黑体" w:eastAsia="黑体"/>
        </w:rPr>
        <w:t>甲方（委托方）：</w:t>
      </w:r>
      <w:r>
        <w:rPr>
          <w:rFonts w:hint="eastAsia" w:ascii="黑体" w:eastAsia="黑体"/>
          <w:spacing w:val="38"/>
          <w:sz w:val="30"/>
          <w:szCs w:val="30"/>
          <w:u w:val="single"/>
        </w:rPr>
        <w:t xml:space="preserve">萧县交通投资有限责任公司 </w:t>
      </w:r>
    </w:p>
    <w:p>
      <w:pPr>
        <w:snapToGrid w:val="0"/>
        <w:spacing w:line="480" w:lineRule="auto"/>
        <w:ind w:firstLine="1120" w:firstLineChars="400"/>
        <w:rPr>
          <w:rFonts w:hint="eastAsia" w:ascii="黑体" w:eastAsia="黑体"/>
          <w:bCs/>
          <w:sz w:val="30"/>
          <w:szCs w:val="30"/>
          <w:u w:val="single"/>
        </w:rPr>
      </w:pPr>
      <w:r>
        <w:rPr>
          <w:rFonts w:hint="eastAsia" w:ascii="黑体" w:eastAsia="黑体"/>
        </w:rPr>
        <w:t>乙方（受托方）：</w:t>
      </w:r>
      <w:r>
        <w:rPr>
          <w:rFonts w:hint="eastAsia" w:ascii="黑体" w:eastAsia="黑体"/>
          <w:bCs/>
          <w:sz w:val="30"/>
          <w:szCs w:val="30"/>
          <w:u w:val="single"/>
        </w:rPr>
        <w:t xml:space="preserve">                                </w:t>
      </w:r>
    </w:p>
    <w:p>
      <w:pPr>
        <w:snapToGrid w:val="0"/>
        <w:spacing w:line="480" w:lineRule="auto"/>
        <w:ind w:left="753" w:leftChars="269" w:firstLine="1200" w:firstLineChars="400"/>
        <w:rPr>
          <w:rFonts w:hint="eastAsia" w:ascii="黑体" w:eastAsia="黑体"/>
          <w:bCs/>
          <w:sz w:val="30"/>
          <w:szCs w:val="30"/>
        </w:rPr>
      </w:pPr>
      <w:r>
        <w:rPr>
          <w:rFonts w:hint="eastAsia" w:ascii="黑体" w:eastAsia="黑体"/>
          <w:bCs/>
          <w:sz w:val="30"/>
          <w:szCs w:val="30"/>
        </w:rPr>
        <w:t xml:space="preserve">          </w:t>
      </w:r>
    </w:p>
    <w:p>
      <w:pPr>
        <w:snapToGrid w:val="0"/>
        <w:spacing w:line="480" w:lineRule="auto"/>
        <w:ind w:left="753" w:leftChars="269" w:firstLine="1200" w:firstLineChars="400"/>
        <w:rPr>
          <w:rFonts w:hint="eastAsia" w:ascii="黑体" w:eastAsia="黑体"/>
          <w:bCs/>
          <w:sz w:val="30"/>
          <w:szCs w:val="30"/>
        </w:rPr>
      </w:pPr>
    </w:p>
    <w:p>
      <w:pPr>
        <w:snapToGrid w:val="0"/>
        <w:spacing w:line="480" w:lineRule="auto"/>
        <w:ind w:left="753" w:leftChars="269" w:firstLine="1200" w:firstLineChars="400"/>
        <w:rPr>
          <w:rFonts w:hint="eastAsia" w:ascii="黑体" w:eastAsia="黑体"/>
          <w:sz w:val="30"/>
          <w:szCs w:val="30"/>
        </w:rPr>
      </w:pPr>
      <w:r>
        <w:rPr>
          <w:rFonts w:hint="eastAsia" w:ascii="黑体" w:eastAsia="黑体"/>
          <w:bCs/>
          <w:sz w:val="30"/>
          <w:szCs w:val="30"/>
        </w:rPr>
        <w:t xml:space="preserve">                  </w:t>
      </w:r>
    </w:p>
    <w:p>
      <w:pPr>
        <w:spacing w:line="360" w:lineRule="auto"/>
        <w:jc w:val="center"/>
        <w:rPr>
          <w:rFonts w:hint="eastAsia"/>
          <w:b/>
          <w:sz w:val="52"/>
          <w:szCs w:val="52"/>
        </w:rPr>
      </w:pPr>
    </w:p>
    <w:p>
      <w:pPr>
        <w:spacing w:line="360" w:lineRule="auto"/>
        <w:jc w:val="center"/>
        <w:rPr>
          <w:rFonts w:hint="eastAsia"/>
          <w:b/>
          <w:sz w:val="52"/>
          <w:szCs w:val="52"/>
        </w:rPr>
      </w:pPr>
      <w:r>
        <w:rPr>
          <w:rFonts w:hint="eastAsia"/>
          <w:b/>
          <w:sz w:val="52"/>
          <w:szCs w:val="52"/>
        </w:rPr>
        <w:t>协议书</w:t>
      </w:r>
    </w:p>
    <w:p>
      <w:pPr>
        <w:spacing w:line="360" w:lineRule="auto"/>
        <w:jc w:val="center"/>
        <w:rPr>
          <w:rFonts w:hint="eastAsia"/>
          <w:b/>
          <w:sz w:val="52"/>
          <w:szCs w:val="52"/>
        </w:rPr>
      </w:pPr>
    </w:p>
    <w:p>
      <w:pPr>
        <w:spacing w:line="360" w:lineRule="auto"/>
        <w:rPr>
          <w:bCs/>
          <w:sz w:val="24"/>
          <w:u w:val="single"/>
        </w:rPr>
      </w:pPr>
      <w:r>
        <w:rPr>
          <w:rFonts w:hint="eastAsia"/>
          <w:bCs/>
          <w:sz w:val="24"/>
        </w:rPr>
        <w:t>甲方（委托方）：</w:t>
      </w:r>
      <w:r>
        <w:rPr>
          <w:rFonts w:hint="eastAsia"/>
          <w:bCs/>
          <w:sz w:val="24"/>
          <w:u w:val="single"/>
        </w:rPr>
        <w:t xml:space="preserve">                  </w:t>
      </w:r>
    </w:p>
    <w:p>
      <w:pPr>
        <w:spacing w:line="360" w:lineRule="auto"/>
        <w:rPr>
          <w:rFonts w:hint="eastAsia"/>
          <w:sz w:val="24"/>
        </w:rPr>
      </w:pPr>
      <w:r>
        <w:rPr>
          <w:rFonts w:hint="eastAsia"/>
          <w:bCs/>
          <w:sz w:val="24"/>
        </w:rPr>
        <w:t>乙方</w:t>
      </w:r>
      <w:r>
        <w:rPr>
          <w:rFonts w:hint="eastAsia"/>
          <w:sz w:val="24"/>
        </w:rPr>
        <w:t>（受托方）：</w:t>
      </w:r>
      <w:r>
        <w:rPr>
          <w:rFonts w:hint="eastAsia"/>
          <w:bCs/>
          <w:sz w:val="24"/>
          <w:u w:val="single"/>
        </w:rPr>
        <w:t xml:space="preserve">                  </w:t>
      </w:r>
    </w:p>
    <w:p>
      <w:pPr>
        <w:spacing w:line="360" w:lineRule="auto"/>
        <w:ind w:firstLine="480" w:firstLineChars="200"/>
        <w:rPr>
          <w:rFonts w:hint="eastAsia"/>
          <w:sz w:val="24"/>
          <w:u w:val="single"/>
        </w:rPr>
      </w:pPr>
      <w:r>
        <w:rPr>
          <w:rFonts w:hint="eastAsia"/>
          <w:sz w:val="24"/>
        </w:rPr>
        <w:t>根据</w:t>
      </w:r>
      <w:r>
        <w:rPr>
          <w:rFonts w:hint="eastAsia"/>
          <w:sz w:val="24"/>
          <w:u w:val="single"/>
        </w:rPr>
        <w:t>2020</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日公开比选的结果，依照《中华人民共和国合同法》、《中华人民共和国建筑法》、及其他有关法律、法规、行政规定，遵循平等、自愿、公平和诚实信用的原则，甲方委托乙方对</w:t>
      </w:r>
      <w:r>
        <w:rPr>
          <w:rFonts w:hint="eastAsia"/>
          <w:sz w:val="24"/>
          <w:u w:val="single"/>
        </w:rPr>
        <w:t>萧县</w:t>
      </w:r>
      <w:r>
        <w:rPr>
          <w:sz w:val="24"/>
          <w:u w:val="single"/>
        </w:rPr>
        <w:t>S301延伸线下穿符夹铁路立交工程</w:t>
      </w:r>
      <w:r>
        <w:rPr>
          <w:rFonts w:hint="eastAsia"/>
          <w:sz w:val="24"/>
        </w:rPr>
        <w:t>项目进行</w:t>
      </w:r>
      <w:r>
        <w:rPr>
          <w:sz w:val="24"/>
        </w:rPr>
        <w:t>代建合同价审计</w:t>
      </w:r>
      <w:r>
        <w:rPr>
          <w:rFonts w:hint="eastAsia"/>
          <w:sz w:val="24"/>
        </w:rPr>
        <w:t>咨询服务，经双方协商一致，订立本合同。</w:t>
      </w:r>
    </w:p>
    <w:p>
      <w:pPr>
        <w:numPr>
          <w:ilvl w:val="0"/>
          <w:numId w:val="1"/>
        </w:numPr>
        <w:spacing w:line="360" w:lineRule="auto"/>
        <w:rPr>
          <w:rFonts w:hint="eastAsia"/>
          <w:b/>
          <w:sz w:val="24"/>
        </w:rPr>
      </w:pPr>
      <w:r>
        <w:rPr>
          <w:rFonts w:hint="eastAsia"/>
          <w:b/>
          <w:sz w:val="24"/>
        </w:rPr>
        <w:t>委托咨询服务事项和范围</w:t>
      </w:r>
    </w:p>
    <w:p>
      <w:pPr>
        <w:spacing w:line="360" w:lineRule="auto"/>
        <w:ind w:firstLine="480" w:firstLineChars="200"/>
        <w:rPr>
          <w:rFonts w:hint="eastAsia"/>
          <w:sz w:val="24"/>
          <w:u w:val="single"/>
        </w:rPr>
      </w:pPr>
      <w:r>
        <w:rPr>
          <w:rFonts w:hint="eastAsia"/>
          <w:sz w:val="24"/>
        </w:rPr>
        <w:t>咨询服务事项和范围：对</w:t>
      </w:r>
      <w:r>
        <w:rPr>
          <w:rFonts w:hint="eastAsia"/>
          <w:sz w:val="24"/>
          <w:u w:val="single"/>
        </w:rPr>
        <w:t>萧县</w:t>
      </w:r>
      <w:r>
        <w:rPr>
          <w:sz w:val="24"/>
          <w:u w:val="single"/>
        </w:rPr>
        <w:t>S301延伸线下穿符夹铁路立交工程</w:t>
      </w:r>
      <w:r>
        <w:rPr>
          <w:sz w:val="24"/>
        </w:rPr>
        <w:t>代建合同价</w:t>
      </w:r>
      <w:r>
        <w:rPr>
          <w:rFonts w:hint="eastAsia"/>
          <w:sz w:val="24"/>
        </w:rPr>
        <w:t>进行审计咨询。主要范围为萧县</w:t>
      </w:r>
      <w:r>
        <w:rPr>
          <w:sz w:val="24"/>
        </w:rPr>
        <w:t>S301延伸线下穿符夹铁路立交工程代建合同价审计</w:t>
      </w:r>
      <w:r>
        <w:rPr>
          <w:rFonts w:hint="eastAsia"/>
          <w:sz w:val="24"/>
        </w:rPr>
        <w:t>，参与代建单位合同谈判及造价咨询，协助业主签订相关协议。</w:t>
      </w:r>
    </w:p>
    <w:p>
      <w:pPr>
        <w:numPr>
          <w:ilvl w:val="0"/>
          <w:numId w:val="1"/>
        </w:numPr>
        <w:spacing w:line="360" w:lineRule="auto"/>
        <w:rPr>
          <w:rFonts w:hint="eastAsia"/>
          <w:b/>
          <w:sz w:val="24"/>
        </w:rPr>
      </w:pPr>
      <w:r>
        <w:rPr>
          <w:rFonts w:hint="eastAsia"/>
          <w:b/>
          <w:sz w:val="24"/>
        </w:rPr>
        <w:t>甲方的责任和权利</w:t>
      </w:r>
    </w:p>
    <w:p>
      <w:pPr>
        <w:spacing w:line="360" w:lineRule="auto"/>
        <w:ind w:firstLine="480" w:firstLineChars="200"/>
        <w:rPr>
          <w:rFonts w:hint="eastAsia"/>
          <w:sz w:val="24"/>
        </w:rPr>
      </w:pPr>
      <w:r>
        <w:rPr>
          <w:rFonts w:hint="eastAsia"/>
          <w:sz w:val="24"/>
        </w:rPr>
        <w:t>1、组织安排乙方工程项目的合同价审计咨询工作，监督审核进度；</w:t>
      </w:r>
    </w:p>
    <w:p>
      <w:pPr>
        <w:spacing w:line="360" w:lineRule="auto"/>
        <w:ind w:firstLine="480" w:firstLineChars="200"/>
        <w:rPr>
          <w:rFonts w:hint="eastAsia"/>
          <w:sz w:val="24"/>
        </w:rPr>
      </w:pPr>
      <w:r>
        <w:rPr>
          <w:rFonts w:hint="eastAsia"/>
          <w:sz w:val="24"/>
        </w:rPr>
        <w:t>2、甲方有权要求撤换不称职的审计咨询人员；</w:t>
      </w:r>
    </w:p>
    <w:p>
      <w:pPr>
        <w:spacing w:line="360" w:lineRule="auto"/>
        <w:ind w:firstLine="480" w:firstLineChars="200"/>
        <w:rPr>
          <w:rFonts w:hint="eastAsia"/>
          <w:sz w:val="24"/>
        </w:rPr>
      </w:pPr>
      <w:r>
        <w:rPr>
          <w:rFonts w:hint="eastAsia"/>
          <w:sz w:val="24"/>
        </w:rPr>
        <w:t>3、甲方有权要求乙方提供与审计咨询任务相关的审计意见和文件资料。</w:t>
      </w:r>
    </w:p>
    <w:p>
      <w:pPr>
        <w:spacing w:line="360" w:lineRule="auto"/>
        <w:ind w:firstLine="480" w:firstLineChars="200"/>
        <w:rPr>
          <w:rFonts w:hint="eastAsia"/>
          <w:sz w:val="24"/>
        </w:rPr>
      </w:pPr>
      <w:r>
        <w:rPr>
          <w:rFonts w:hint="eastAsia"/>
          <w:sz w:val="24"/>
        </w:rPr>
        <w:t>4、及时、完整地提供审计项目所需的设计文件、合同和相关资料，并对所提供资料的准确性、真实性、完整性负责。</w:t>
      </w:r>
    </w:p>
    <w:p>
      <w:pPr>
        <w:spacing w:line="360" w:lineRule="auto"/>
        <w:ind w:firstLine="482" w:firstLineChars="200"/>
        <w:rPr>
          <w:rFonts w:hint="eastAsia"/>
          <w:b/>
          <w:sz w:val="24"/>
        </w:rPr>
      </w:pPr>
      <w:r>
        <w:rPr>
          <w:rFonts w:hint="eastAsia"/>
          <w:b/>
          <w:sz w:val="24"/>
        </w:rPr>
        <w:t>三、乙方的责任和权利</w:t>
      </w:r>
    </w:p>
    <w:p>
      <w:pPr>
        <w:spacing w:line="360" w:lineRule="auto"/>
        <w:ind w:firstLine="480" w:firstLineChars="200"/>
        <w:rPr>
          <w:sz w:val="24"/>
        </w:rPr>
      </w:pPr>
      <w:r>
        <w:rPr>
          <w:rFonts w:hint="eastAsia"/>
          <w:sz w:val="24"/>
        </w:rPr>
        <w:t>1、依据甲方提供的资料，出具工程审计报告，对报告的真实性、合法性负责。各审计报告胶装后，装入带标签的档案盒中成套移交业主。</w:t>
      </w:r>
    </w:p>
    <w:p>
      <w:pPr>
        <w:spacing w:line="360" w:lineRule="auto"/>
        <w:ind w:firstLine="480"/>
        <w:rPr>
          <w:rFonts w:hint="eastAsia"/>
          <w:sz w:val="24"/>
        </w:rPr>
      </w:pPr>
      <w:r>
        <w:rPr>
          <w:rFonts w:hint="eastAsia"/>
          <w:sz w:val="24"/>
        </w:rPr>
        <w:t>2、根据所承担的审计咨询任务，组织审计班子，并指派一名熟悉审计工作、符合甲方要求的人员，出任项目审计的项目负责人。</w:t>
      </w:r>
    </w:p>
    <w:p>
      <w:pPr>
        <w:spacing w:line="360" w:lineRule="auto"/>
        <w:ind w:firstLine="480"/>
        <w:rPr>
          <w:rFonts w:hint="eastAsia"/>
          <w:sz w:val="24"/>
        </w:rPr>
      </w:pPr>
      <w:r>
        <w:rPr>
          <w:rFonts w:hint="eastAsia"/>
          <w:sz w:val="24"/>
        </w:rPr>
        <w:t>3、保证审计人员的业务素质，遵守职业道德，勤奋主动工作，保证工作的公正性、科学性，维护各方的合法权益。</w:t>
      </w:r>
    </w:p>
    <w:p>
      <w:pPr>
        <w:spacing w:line="360" w:lineRule="auto"/>
        <w:ind w:firstLine="480"/>
        <w:rPr>
          <w:rFonts w:hint="eastAsia"/>
          <w:sz w:val="24"/>
        </w:rPr>
      </w:pPr>
      <w:r>
        <w:rPr>
          <w:rFonts w:hint="eastAsia"/>
          <w:sz w:val="24"/>
        </w:rPr>
        <w:t>4、如无特殊情况，应保证审计机构主要工作人员的稳定，以保证审核工作的连续性。</w:t>
      </w:r>
    </w:p>
    <w:p>
      <w:pPr>
        <w:spacing w:line="360" w:lineRule="auto"/>
        <w:ind w:firstLine="480"/>
        <w:rPr>
          <w:rFonts w:hint="eastAsia"/>
          <w:sz w:val="24"/>
        </w:rPr>
      </w:pPr>
      <w:r>
        <w:rPr>
          <w:rFonts w:hint="eastAsia"/>
          <w:sz w:val="24"/>
        </w:rPr>
        <w:t>5、不得与本工程的第三方发生直接或间接的经营关系或隶属关系，也不得是这些单位的合伙经营者。</w:t>
      </w:r>
    </w:p>
    <w:p>
      <w:pPr>
        <w:spacing w:line="360" w:lineRule="auto"/>
        <w:ind w:firstLine="480"/>
        <w:rPr>
          <w:rFonts w:hint="eastAsia"/>
          <w:sz w:val="24"/>
        </w:rPr>
      </w:pPr>
      <w:r>
        <w:rPr>
          <w:rFonts w:hint="eastAsia"/>
          <w:sz w:val="24"/>
        </w:rPr>
        <w:t>6、应定期向甲方提供工程审计工作进展信息，及时反映工作进展总出现的各种情况，并提出解决方法，协助落实。</w:t>
      </w:r>
    </w:p>
    <w:p>
      <w:pPr>
        <w:spacing w:line="360" w:lineRule="auto"/>
        <w:ind w:left="480"/>
        <w:rPr>
          <w:rFonts w:hint="eastAsia"/>
          <w:b/>
          <w:sz w:val="24"/>
        </w:rPr>
      </w:pPr>
      <w:r>
        <w:rPr>
          <w:rFonts w:hint="eastAsia"/>
          <w:b/>
          <w:sz w:val="24"/>
        </w:rPr>
        <w:t>四、完成时限</w:t>
      </w:r>
    </w:p>
    <w:p>
      <w:pPr>
        <w:spacing w:line="360" w:lineRule="auto"/>
        <w:ind w:firstLine="480" w:firstLineChars="200"/>
        <w:rPr>
          <w:rFonts w:hint="eastAsia"/>
          <w:sz w:val="24"/>
        </w:rPr>
      </w:pPr>
      <w:r>
        <w:rPr>
          <w:rFonts w:hint="eastAsia"/>
          <w:sz w:val="24"/>
        </w:rPr>
        <w:t>本合同项目合同价审计从2020年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日开始，至2020年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日结束。</w:t>
      </w:r>
    </w:p>
    <w:p>
      <w:pPr>
        <w:spacing w:line="360" w:lineRule="auto"/>
        <w:ind w:left="480"/>
        <w:rPr>
          <w:rFonts w:hint="eastAsia"/>
          <w:b/>
          <w:sz w:val="24"/>
        </w:rPr>
      </w:pPr>
      <w:r>
        <w:rPr>
          <w:rFonts w:hint="eastAsia"/>
          <w:b/>
          <w:sz w:val="24"/>
        </w:rPr>
        <w:t>五、计费标准和结算方式</w:t>
      </w:r>
    </w:p>
    <w:p>
      <w:pPr>
        <w:spacing w:line="360" w:lineRule="auto"/>
        <w:ind w:firstLine="480" w:firstLineChars="200"/>
        <w:rPr>
          <w:sz w:val="24"/>
        </w:rPr>
      </w:pPr>
      <w:r>
        <w:rPr>
          <w:rFonts w:hint="eastAsia"/>
          <w:sz w:val="24"/>
        </w:rPr>
        <w:t>1、工程造价咨询结算服务费：</w:t>
      </w:r>
      <w:r>
        <w:rPr>
          <w:rFonts w:hint="eastAsia"/>
          <w:sz w:val="24"/>
          <w:u w:val="single"/>
        </w:rPr>
        <w:t xml:space="preserve">        </w:t>
      </w:r>
      <w:r>
        <w:rPr>
          <w:rFonts w:hint="eastAsia"/>
          <w:sz w:val="24"/>
        </w:rPr>
        <w:t>万元。</w:t>
      </w:r>
    </w:p>
    <w:p>
      <w:pPr>
        <w:spacing w:line="360" w:lineRule="auto"/>
        <w:ind w:left="480"/>
        <w:rPr>
          <w:rFonts w:hint="eastAsia"/>
          <w:sz w:val="24"/>
        </w:rPr>
      </w:pPr>
      <w:r>
        <w:rPr>
          <w:sz w:val="24"/>
        </w:rPr>
        <w:t>2</w:t>
      </w:r>
      <w:r>
        <w:rPr>
          <w:rFonts w:hint="eastAsia"/>
          <w:sz w:val="24"/>
        </w:rPr>
        <w:t>、支付方式：</w:t>
      </w:r>
    </w:p>
    <w:p>
      <w:pPr>
        <w:spacing w:line="360" w:lineRule="auto"/>
        <w:ind w:left="480"/>
        <w:rPr>
          <w:rFonts w:hint="eastAsia"/>
          <w:sz w:val="24"/>
          <w:szCs w:val="24"/>
          <w:lang w:val="en-US" w:eastAsia="zh-CN"/>
        </w:rPr>
      </w:pPr>
      <w:r>
        <w:rPr>
          <w:rFonts w:hint="eastAsia"/>
          <w:sz w:val="24"/>
          <w:szCs w:val="24"/>
          <w:lang w:val="en-US" w:eastAsia="zh-CN"/>
        </w:rPr>
        <w:t>代建合同签订后付至合同价的80%，结算审计工作完成并提交报告后一次性付清。</w:t>
      </w:r>
    </w:p>
    <w:p>
      <w:pPr>
        <w:spacing w:line="360" w:lineRule="auto"/>
        <w:ind w:left="480"/>
        <w:rPr>
          <w:rFonts w:hint="eastAsia"/>
          <w:b/>
          <w:sz w:val="24"/>
        </w:rPr>
      </w:pPr>
      <w:r>
        <w:rPr>
          <w:rFonts w:hint="eastAsia"/>
          <w:b/>
          <w:sz w:val="24"/>
        </w:rPr>
        <w:t>六、报告的使用责任</w:t>
      </w:r>
    </w:p>
    <w:p>
      <w:pPr>
        <w:spacing w:line="360" w:lineRule="auto"/>
        <w:ind w:firstLine="480" w:firstLineChars="200"/>
        <w:rPr>
          <w:rFonts w:hint="eastAsia"/>
          <w:sz w:val="24"/>
        </w:rPr>
      </w:pPr>
      <w:r>
        <w:rPr>
          <w:rFonts w:hint="eastAsia"/>
          <w:sz w:val="24"/>
        </w:rPr>
        <w:t>乙方应按合同向甲方出项目审计</w:t>
      </w:r>
      <w:r>
        <w:rPr>
          <w:sz w:val="24"/>
        </w:rPr>
        <w:t>报告一式</w:t>
      </w:r>
      <w:r>
        <w:rPr>
          <w:rFonts w:hint="eastAsia"/>
          <w:sz w:val="24"/>
        </w:rPr>
        <w:t>陆</w:t>
      </w:r>
      <w:r>
        <w:rPr>
          <w:sz w:val="24"/>
        </w:rPr>
        <w:t>份，</w:t>
      </w:r>
      <w:r>
        <w:rPr>
          <w:rFonts w:hint="eastAsia"/>
          <w:sz w:val="24"/>
        </w:rPr>
        <w:t>所有报告均应提交相应的电子文件，并由甲方分发、使用。恰当使用报告是甲方的责任，如出现使用不当的情况与乙方无关。</w:t>
      </w:r>
    </w:p>
    <w:p>
      <w:pPr>
        <w:spacing w:line="360" w:lineRule="auto"/>
        <w:ind w:firstLine="482" w:firstLineChars="200"/>
        <w:rPr>
          <w:rFonts w:hint="eastAsia"/>
          <w:b/>
          <w:sz w:val="24"/>
        </w:rPr>
      </w:pPr>
      <w:r>
        <w:rPr>
          <w:rFonts w:hint="eastAsia"/>
          <w:b/>
          <w:sz w:val="24"/>
        </w:rPr>
        <w:t>七、适用法律和争议解决</w:t>
      </w:r>
    </w:p>
    <w:p>
      <w:pPr>
        <w:spacing w:line="360" w:lineRule="auto"/>
        <w:ind w:firstLine="480" w:firstLineChars="200"/>
        <w:rPr>
          <w:rFonts w:hint="eastAsia"/>
          <w:sz w:val="24"/>
        </w:rPr>
      </w:pPr>
      <w:r>
        <w:rPr>
          <w:rFonts w:hint="eastAsia"/>
          <w:sz w:val="24"/>
        </w:rPr>
        <w:t>本合同的所有方面均应适用中华人民共和国法律进行解释并受其约束。工程造价咨询单位对其提供的工程造价咨询成果负经济、法律责任，如给甲方带来损失，可向咨询单位进行索赔。本合同履行地为甲方工程项目所在地，因本合同所引起或与本合同有关的任何纠纷或争议（包括关于本合同条款的存在、效力或终止，或无效之后果），双方选择以下第</w:t>
      </w:r>
      <w:r>
        <w:rPr>
          <w:rFonts w:hint="eastAsia"/>
          <w:sz w:val="24"/>
          <w:u w:val="single"/>
        </w:rPr>
        <w:t xml:space="preserve"> 1 </w:t>
      </w:r>
      <w:r>
        <w:rPr>
          <w:rFonts w:hint="eastAsia"/>
          <w:sz w:val="24"/>
        </w:rPr>
        <w:t>种解决方式：</w:t>
      </w:r>
    </w:p>
    <w:p>
      <w:pPr>
        <w:spacing w:line="360" w:lineRule="auto"/>
        <w:ind w:left="480"/>
        <w:rPr>
          <w:rFonts w:hint="eastAsia"/>
          <w:sz w:val="24"/>
        </w:rPr>
      </w:pPr>
      <w:r>
        <w:rPr>
          <w:rFonts w:hint="eastAsia"/>
          <w:sz w:val="24"/>
        </w:rPr>
        <w:t>1、向</w:t>
      </w:r>
      <w:r>
        <w:rPr>
          <w:rFonts w:hint="eastAsia"/>
          <w:sz w:val="24"/>
          <w:u w:val="single"/>
        </w:rPr>
        <w:t xml:space="preserve">  萧县  </w:t>
      </w:r>
      <w:r>
        <w:rPr>
          <w:rFonts w:hint="eastAsia"/>
          <w:sz w:val="24"/>
        </w:rPr>
        <w:t>人民法院提起诉讼。</w:t>
      </w:r>
    </w:p>
    <w:p>
      <w:pPr>
        <w:spacing w:line="360" w:lineRule="auto"/>
        <w:ind w:left="480"/>
        <w:rPr>
          <w:rFonts w:hint="eastAsia"/>
          <w:sz w:val="24"/>
        </w:rPr>
      </w:pPr>
      <w:r>
        <w:rPr>
          <w:rFonts w:hint="eastAsia"/>
          <w:b/>
          <w:sz w:val="24"/>
        </w:rPr>
        <w:t>八、甲乙双方对其他事项的约定</w:t>
      </w:r>
    </w:p>
    <w:p>
      <w:pPr>
        <w:spacing w:line="360" w:lineRule="auto"/>
        <w:ind w:left="480"/>
        <w:rPr>
          <w:rFonts w:hint="eastAsia"/>
          <w:sz w:val="24"/>
        </w:rPr>
      </w:pPr>
      <w:r>
        <w:rPr>
          <w:rFonts w:hint="eastAsia"/>
          <w:sz w:val="24"/>
        </w:rPr>
        <w:t>未尽事宜双方另行协商或双方商议订立补充协议，补充协议与本协议具有同等法律效力。</w:t>
      </w:r>
    </w:p>
    <w:p>
      <w:pPr>
        <w:pStyle w:val="6"/>
        <w:rPr>
          <w:b/>
          <w:sz w:val="24"/>
        </w:rPr>
      </w:pPr>
      <w:r>
        <w:rPr>
          <w:rFonts w:hint="eastAsia"/>
          <w:b/>
          <w:sz w:val="24"/>
        </w:rPr>
        <w:t xml:space="preserve">甲  方(公章):                           </w:t>
      </w:r>
      <w:r>
        <w:rPr>
          <w:rFonts w:hint="eastAsia"/>
          <w:b/>
          <w:sz w:val="24"/>
          <w:lang w:val="en-US" w:eastAsia="zh-CN"/>
        </w:rPr>
        <w:t xml:space="preserve"> </w:t>
      </w:r>
      <w:r>
        <w:rPr>
          <w:rFonts w:hint="eastAsia"/>
          <w:b/>
          <w:sz w:val="24"/>
        </w:rPr>
        <w:t>乙  方(公章):</w:t>
      </w:r>
    </w:p>
    <w:p>
      <w:pPr>
        <w:spacing w:line="360" w:lineRule="auto"/>
        <w:rPr>
          <w:rFonts w:hint="eastAsia"/>
          <w:b/>
          <w:sz w:val="24"/>
        </w:rPr>
      </w:pPr>
    </w:p>
    <w:p>
      <w:pPr>
        <w:spacing w:line="360" w:lineRule="auto"/>
        <w:rPr>
          <w:rFonts w:hint="eastAsia"/>
          <w:b/>
          <w:sz w:val="24"/>
        </w:rPr>
      </w:pPr>
      <w:r>
        <w:rPr>
          <w:rFonts w:hint="eastAsia"/>
          <w:b/>
          <w:sz w:val="24"/>
        </w:rPr>
        <w:t xml:space="preserve">法定代表人或授权代表（签字）：           </w:t>
      </w:r>
      <w:r>
        <w:rPr>
          <w:rFonts w:hint="eastAsia"/>
          <w:b/>
          <w:sz w:val="24"/>
          <w:lang w:val="en-US" w:eastAsia="zh-CN"/>
        </w:rPr>
        <w:t xml:space="preserve"> </w:t>
      </w:r>
      <w:r>
        <w:rPr>
          <w:rFonts w:hint="eastAsia"/>
          <w:b/>
          <w:sz w:val="24"/>
        </w:rPr>
        <w:t>法定代表人或授权代表（签字）：</w:t>
      </w:r>
    </w:p>
    <w:p>
      <w:pPr>
        <w:pStyle w:val="2"/>
        <w:ind w:left="0" w:firstLine="0" w:firstLineChars="0"/>
      </w:pPr>
      <w:r>
        <w:rPr>
          <w:rFonts w:hint="eastAsia"/>
          <w:b/>
          <w:sz w:val="24"/>
        </w:rPr>
        <w:t xml:space="preserve">开户行 ：                               </w:t>
      </w:r>
      <w:r>
        <w:rPr>
          <w:rFonts w:hint="eastAsia"/>
          <w:b/>
          <w:sz w:val="24"/>
          <w:lang w:val="en-US" w:eastAsia="zh-CN"/>
        </w:rPr>
        <w:t xml:space="preserve"> </w:t>
      </w:r>
      <w:r>
        <w:rPr>
          <w:rFonts w:hint="eastAsia"/>
          <w:b/>
          <w:sz w:val="24"/>
        </w:rPr>
        <w:t>开户行：</w:t>
      </w:r>
    </w:p>
    <w:p>
      <w:pPr>
        <w:spacing w:line="360" w:lineRule="auto"/>
      </w:pPr>
      <w:r>
        <w:rPr>
          <w:rFonts w:hint="eastAsia"/>
          <w:b/>
          <w:sz w:val="24"/>
        </w:rPr>
        <w:t xml:space="preserve">账号：                                  </w:t>
      </w:r>
      <w:r>
        <w:rPr>
          <w:rFonts w:hint="eastAsia"/>
          <w:b/>
          <w:sz w:val="24"/>
          <w:lang w:val="en-US" w:eastAsia="zh-CN"/>
        </w:rPr>
        <w:t xml:space="preserve"> </w:t>
      </w:r>
      <w:r>
        <w:rPr>
          <w:rFonts w:hint="eastAsia"/>
          <w:b/>
          <w:sz w:val="24"/>
        </w:rPr>
        <w:t>账号：</w:t>
      </w:r>
    </w:p>
    <w:p>
      <w:pPr>
        <w:spacing w:line="360" w:lineRule="auto"/>
        <w:rPr>
          <w:rFonts w:hint="eastAsia"/>
          <w:b/>
          <w:sz w:val="24"/>
        </w:rPr>
      </w:pPr>
      <w:r>
        <w:rPr>
          <w:rFonts w:hint="eastAsia"/>
          <w:b/>
          <w:sz w:val="24"/>
        </w:rPr>
        <w:t xml:space="preserve">地址：                                  </w:t>
      </w:r>
      <w:r>
        <w:rPr>
          <w:rFonts w:hint="eastAsia"/>
          <w:b/>
          <w:sz w:val="24"/>
          <w:lang w:val="en-US" w:eastAsia="zh-CN"/>
        </w:rPr>
        <w:t xml:space="preserve"> </w:t>
      </w:r>
      <w:r>
        <w:rPr>
          <w:rFonts w:hint="eastAsia"/>
          <w:b/>
          <w:sz w:val="24"/>
        </w:rPr>
        <w:t>地址：</w:t>
      </w:r>
    </w:p>
    <w:p>
      <w:pPr>
        <w:spacing w:line="360" w:lineRule="auto"/>
        <w:rPr>
          <w:b/>
          <w:sz w:val="24"/>
        </w:rPr>
      </w:pPr>
      <w:r>
        <w:rPr>
          <w:rFonts w:hint="eastAsia"/>
          <w:b/>
          <w:sz w:val="24"/>
        </w:rPr>
        <w:t xml:space="preserve">电话：                                  </w:t>
      </w:r>
      <w:r>
        <w:rPr>
          <w:rFonts w:hint="eastAsia"/>
          <w:b/>
          <w:sz w:val="24"/>
          <w:lang w:val="en-US" w:eastAsia="zh-CN"/>
        </w:rPr>
        <w:t xml:space="preserve"> </w:t>
      </w:r>
      <w:r>
        <w:rPr>
          <w:rFonts w:hint="eastAsia"/>
          <w:b/>
          <w:sz w:val="24"/>
        </w:rPr>
        <w:t>电话：</w:t>
      </w:r>
    </w:p>
    <w:p>
      <w:pPr>
        <w:spacing w:line="360" w:lineRule="auto"/>
        <w:rPr>
          <w:rFonts w:hint="eastAsia"/>
          <w:sz w:val="24"/>
        </w:rPr>
      </w:pPr>
    </w:p>
    <w:p>
      <w:pPr>
        <w:pStyle w:val="6"/>
        <w:jc w:val="right"/>
      </w:pPr>
      <w:r>
        <w:rPr>
          <w:rFonts w:hint="eastAsia"/>
          <w:b/>
          <w:sz w:val="24"/>
        </w:rPr>
        <w:t>签订时间： 2020年   月   日</w:t>
      </w:r>
      <w:bookmarkStart w:id="0" w:name="_GoBack"/>
      <w:bookmarkEnd w:id="0"/>
    </w:p>
    <w:sectPr>
      <w:headerReference r:id="rId4" w:type="first"/>
      <w:headerReference r:id="rId3" w:type="default"/>
      <w:footerReference r:id="rId5" w:type="default"/>
      <w:footerReference r:id="rId6" w:type="even"/>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134"/>
    <w:multiLevelType w:val="multilevel"/>
    <w:tmpl w:val="09814134"/>
    <w:lvl w:ilvl="0" w:tentative="0">
      <w:start w:val="1"/>
      <w:numFmt w:val="japaneseCounting"/>
      <w:lvlText w:val="%1、"/>
      <w:lvlJc w:val="left"/>
      <w:pPr>
        <w:tabs>
          <w:tab w:val="left" w:pos="960"/>
        </w:tabs>
        <w:ind w:left="960" w:hanging="48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B5299"/>
    <w:rsid w:val="5DFB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36"/>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2020-07-27T01:50:00Z</dcterms:created>
  <dc:creator>开开妈</dc:creator>
  <cp:lastModifiedBy>开开妈</cp:lastModifiedBy>
  <dcterms:modified xsi:type="dcterms:W3CDTF">2020-07-27T01:51:04Z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