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36"/>
          <w:szCs w:val="36"/>
        </w:rPr>
      </w:pPr>
      <w:bookmarkStart w:id="0" w:name="_Toc34987242"/>
      <w:bookmarkStart w:id="1" w:name="_Toc300214661"/>
      <w:r>
        <w:rPr>
          <w:rFonts w:hint="eastAsia"/>
          <w:sz w:val="36"/>
          <w:szCs w:val="36"/>
        </w:rPr>
        <w:t>评审方法</w:t>
      </w:r>
      <w:bookmarkEnd w:id="0"/>
      <w:bookmarkEnd w:id="1"/>
    </w:p>
    <w:p>
      <w:pPr>
        <w:pStyle w:val="6"/>
        <w:ind w:firstLine="281"/>
      </w:pPr>
      <w:bookmarkStart w:id="2" w:name="_Toc34987243"/>
      <w:r>
        <w:rPr>
          <w:rFonts w:hint="eastAsia"/>
        </w:rPr>
        <w:t>一、总则</w:t>
      </w:r>
      <w:bookmarkEnd w:id="2"/>
    </w:p>
    <w:p>
      <w:pPr>
        <w:spacing w:line="360" w:lineRule="auto"/>
        <w:ind w:firstLine="470" w:firstLineChars="196"/>
        <w:rPr>
          <w:sz w:val="24"/>
        </w:rPr>
      </w:pPr>
      <w:r>
        <w:rPr>
          <w:rFonts w:hint="eastAsia"/>
          <w:sz w:val="24"/>
        </w:rPr>
        <w:t>1.1本次评审活动遵循公平、公正、科学、择优的原则。</w:t>
      </w:r>
    </w:p>
    <w:p>
      <w:pPr>
        <w:spacing w:line="360" w:lineRule="auto"/>
        <w:ind w:firstLine="470" w:firstLineChars="196"/>
        <w:rPr>
          <w:sz w:val="24"/>
        </w:rPr>
      </w:pPr>
      <w:r>
        <w:rPr>
          <w:rFonts w:hint="eastAsia"/>
          <w:sz w:val="24"/>
        </w:rPr>
        <w:t>1.2在本文件规定的提交截止时间后提交的比选申请文件，比选人将拒绝接收。</w:t>
      </w:r>
    </w:p>
    <w:p>
      <w:pPr>
        <w:pStyle w:val="6"/>
        <w:ind w:firstLine="281"/>
      </w:pPr>
      <w:bookmarkStart w:id="3" w:name="_Toc34987244"/>
      <w:r>
        <w:rPr>
          <w:rFonts w:hint="eastAsia"/>
        </w:rPr>
        <w:t>二、评审委员会</w:t>
      </w:r>
      <w:bookmarkEnd w:id="3"/>
    </w:p>
    <w:p>
      <w:pPr>
        <w:spacing w:line="360" w:lineRule="auto"/>
        <w:ind w:firstLine="540" w:firstLineChars="225"/>
        <w:rPr>
          <w:sz w:val="24"/>
        </w:rPr>
      </w:pPr>
      <w:r>
        <w:rPr>
          <w:rFonts w:hint="eastAsia"/>
          <w:sz w:val="24"/>
        </w:rPr>
        <w:t>2.1本项目的评审委员会由比选人按照相关规定组建。</w:t>
      </w:r>
    </w:p>
    <w:p>
      <w:pPr>
        <w:spacing w:line="360" w:lineRule="auto"/>
        <w:ind w:firstLine="540" w:firstLineChars="225"/>
        <w:rPr>
          <w:sz w:val="24"/>
        </w:rPr>
      </w:pPr>
      <w:r>
        <w:rPr>
          <w:rFonts w:hint="eastAsia"/>
          <w:sz w:val="24"/>
        </w:rPr>
        <w:t>2.2评审委员会成员应当客观、公正地履行职责，遵守职业道德，对所提出的评审意见承担个人责任。</w:t>
      </w:r>
    </w:p>
    <w:p>
      <w:pPr>
        <w:pStyle w:val="3"/>
        <w:shd w:val="clear" w:color="auto" w:fill="FFFFFF"/>
        <w:spacing w:line="360" w:lineRule="auto"/>
        <w:ind w:firstLine="480" w:firstLineChars="200"/>
        <w:rPr>
          <w:sz w:val="24"/>
        </w:rPr>
      </w:pPr>
      <w:r>
        <w:rPr>
          <w:rFonts w:hint="eastAsia"/>
          <w:sz w:val="24"/>
        </w:rPr>
        <w:t>2.3评审程序：资格审查</w:t>
      </w:r>
      <w:r>
        <w:rPr>
          <w:rFonts w:hint="eastAsia" w:cs="Arial"/>
          <w:sz w:val="24"/>
        </w:rPr>
        <w:t>--</w:t>
      </w:r>
      <w:r>
        <w:rPr>
          <w:rFonts w:hint="eastAsia"/>
          <w:sz w:val="24"/>
        </w:rPr>
        <w:t>初步评审</w:t>
      </w:r>
      <w:r>
        <w:rPr>
          <w:rFonts w:hint="eastAsia" w:cs="Arial"/>
          <w:sz w:val="24"/>
        </w:rPr>
        <w:t>--报价评审并</w:t>
      </w:r>
      <w:r>
        <w:rPr>
          <w:rFonts w:hint="eastAsia"/>
          <w:sz w:val="24"/>
        </w:rPr>
        <w:t>排名</w:t>
      </w:r>
      <w:r>
        <w:rPr>
          <w:rFonts w:hint="eastAsia" w:cs="Arial"/>
          <w:sz w:val="24"/>
        </w:rPr>
        <w:t>--</w:t>
      </w:r>
      <w:r>
        <w:rPr>
          <w:rFonts w:hint="eastAsia"/>
          <w:sz w:val="24"/>
        </w:rPr>
        <w:t>推荐</w:t>
      </w:r>
      <w:r>
        <w:rPr>
          <w:rFonts w:hint="eastAsia"/>
          <w:sz w:val="24"/>
          <w:lang w:eastAsia="zh-CN"/>
        </w:rPr>
        <w:t>排名前三名的</w:t>
      </w:r>
      <w:r>
        <w:rPr>
          <w:rFonts w:hint="eastAsia"/>
          <w:sz w:val="24"/>
        </w:rPr>
        <w:t>候选人。</w:t>
      </w:r>
    </w:p>
    <w:p>
      <w:pPr>
        <w:pStyle w:val="3"/>
        <w:shd w:val="clear" w:color="auto" w:fill="FFFFFF"/>
        <w:spacing w:line="360" w:lineRule="auto"/>
        <w:ind w:firstLine="480" w:firstLineChars="200"/>
        <w:rPr>
          <w:rFonts w:cs="Arial"/>
          <w:sz w:val="24"/>
        </w:rPr>
      </w:pPr>
      <w:r>
        <w:rPr>
          <w:rFonts w:hint="eastAsia"/>
          <w:sz w:val="24"/>
        </w:rPr>
        <w:t>2.4 在评审过程中，</w:t>
      </w:r>
      <w:r>
        <w:rPr>
          <w:rFonts w:hint="eastAsia" w:cs="Arial"/>
          <w:sz w:val="24"/>
        </w:rPr>
        <w:t>凡未通过上一评审程序的</w:t>
      </w:r>
      <w:r>
        <w:rPr>
          <w:rFonts w:hint="eastAsia"/>
          <w:sz w:val="24"/>
        </w:rPr>
        <w:t>比选申请文件</w:t>
      </w:r>
      <w:r>
        <w:rPr>
          <w:rFonts w:hint="eastAsia" w:cs="Arial"/>
          <w:sz w:val="24"/>
        </w:rPr>
        <w:t>，不再进入后续评审程序。</w:t>
      </w:r>
    </w:p>
    <w:p>
      <w:pPr>
        <w:pStyle w:val="6"/>
        <w:ind w:firstLine="281"/>
      </w:pPr>
      <w:bookmarkStart w:id="4" w:name="_Toc34987245"/>
      <w:r>
        <w:rPr>
          <w:rFonts w:hint="eastAsia"/>
        </w:rPr>
        <w:t>三、资格审查</w:t>
      </w:r>
      <w:bookmarkEnd w:id="4"/>
    </w:p>
    <w:p>
      <w:pPr>
        <w:spacing w:line="360" w:lineRule="auto"/>
        <w:ind w:right="95" w:rightChars="34" w:firstLine="484" w:firstLineChars="202"/>
        <w:rPr>
          <w:rFonts w:cs="Arial"/>
          <w:sz w:val="24"/>
        </w:rPr>
      </w:pPr>
      <w:r>
        <w:rPr>
          <w:rFonts w:hint="eastAsia"/>
          <w:sz w:val="24"/>
        </w:rPr>
        <w:t>3.1评审委员会首先对所有比选申请文件进行资格审查，</w:t>
      </w:r>
      <w:r>
        <w:rPr>
          <w:rFonts w:hint="eastAsia" w:cs="Arial"/>
          <w:sz w:val="24"/>
        </w:rPr>
        <w:t>资格审查实行强制性合格条件标准（见下表），凡有一项不合格则不能通过。资格审查未通过</w:t>
      </w:r>
      <w:r>
        <w:rPr>
          <w:rFonts w:hint="eastAsia"/>
          <w:sz w:val="24"/>
        </w:rPr>
        <w:t>的</w:t>
      </w:r>
      <w:r>
        <w:rPr>
          <w:rFonts w:hint="eastAsia" w:cs="Arial"/>
          <w:sz w:val="24"/>
        </w:rPr>
        <w:t>不再进入下步评审。</w:t>
      </w:r>
    </w:p>
    <w:p>
      <w:pPr>
        <w:snapToGrid w:val="0"/>
        <w:spacing w:line="360" w:lineRule="auto"/>
        <w:ind w:right="95" w:rightChars="34" w:firstLine="487" w:firstLineChars="202"/>
        <w:jc w:val="center"/>
        <w:rPr>
          <w:b/>
          <w:bCs/>
          <w:sz w:val="24"/>
        </w:rPr>
      </w:pPr>
      <w:r>
        <w:rPr>
          <w:rFonts w:hint="eastAsia"/>
          <w:b/>
          <w:bCs/>
          <w:sz w:val="24"/>
        </w:rPr>
        <w:t>资格审查强制性合格条件</w:t>
      </w:r>
    </w:p>
    <w:tbl>
      <w:tblPr>
        <w:tblStyle w:val="9"/>
        <w:tblW w:w="972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2188"/>
        <w:gridCol w:w="55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692" w:type="dxa"/>
            <w:tcMar>
              <w:top w:w="15" w:type="dxa"/>
              <w:left w:w="15" w:type="dxa"/>
              <w:bottom w:w="0" w:type="dxa"/>
              <w:right w:w="15" w:type="dxa"/>
            </w:tcMar>
            <w:vAlign w:val="center"/>
          </w:tcPr>
          <w:p>
            <w:pPr>
              <w:jc w:val="center"/>
              <w:rPr>
                <w:sz w:val="24"/>
              </w:rPr>
            </w:pPr>
            <w:r>
              <w:rPr>
                <w:rFonts w:hint="eastAsia"/>
                <w:sz w:val="24"/>
              </w:rPr>
              <w:t>序号</w:t>
            </w:r>
          </w:p>
        </w:tc>
        <w:tc>
          <w:tcPr>
            <w:tcW w:w="2188" w:type="dxa"/>
            <w:tcMar>
              <w:top w:w="15" w:type="dxa"/>
              <w:left w:w="15" w:type="dxa"/>
              <w:bottom w:w="0" w:type="dxa"/>
              <w:right w:w="15" w:type="dxa"/>
            </w:tcMar>
            <w:vAlign w:val="center"/>
          </w:tcPr>
          <w:p>
            <w:pPr>
              <w:jc w:val="center"/>
              <w:rPr>
                <w:sz w:val="24"/>
              </w:rPr>
            </w:pPr>
            <w:r>
              <w:rPr>
                <w:rFonts w:hint="eastAsia"/>
                <w:sz w:val="24"/>
              </w:rPr>
              <w:t>审查内容</w:t>
            </w:r>
          </w:p>
        </w:tc>
        <w:tc>
          <w:tcPr>
            <w:tcW w:w="5580" w:type="dxa"/>
            <w:tcMar>
              <w:top w:w="15" w:type="dxa"/>
              <w:left w:w="15" w:type="dxa"/>
              <w:bottom w:w="0" w:type="dxa"/>
              <w:right w:w="15" w:type="dxa"/>
            </w:tcMar>
            <w:vAlign w:val="center"/>
          </w:tcPr>
          <w:p>
            <w:pPr>
              <w:jc w:val="center"/>
              <w:rPr>
                <w:sz w:val="24"/>
              </w:rPr>
            </w:pPr>
            <w:r>
              <w:rPr>
                <w:rFonts w:hint="eastAsia"/>
                <w:sz w:val="24"/>
              </w:rPr>
              <w:t>合格条件</w:t>
            </w:r>
          </w:p>
        </w:tc>
        <w:tc>
          <w:tcPr>
            <w:tcW w:w="1260" w:type="dxa"/>
            <w:tcMar>
              <w:top w:w="15" w:type="dxa"/>
              <w:left w:w="15" w:type="dxa"/>
              <w:bottom w:w="0" w:type="dxa"/>
              <w:right w:w="15" w:type="dxa"/>
            </w:tcMar>
            <w:vAlign w:val="center"/>
          </w:tcPr>
          <w:p>
            <w:pPr>
              <w:jc w:val="center"/>
              <w:rPr>
                <w:sz w:val="24"/>
              </w:rPr>
            </w:pPr>
            <w:r>
              <w:rPr>
                <w:rFonts w:hint="eastAsia"/>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92" w:type="dxa"/>
            <w:tcMar>
              <w:top w:w="15" w:type="dxa"/>
              <w:left w:w="15" w:type="dxa"/>
              <w:bottom w:w="0" w:type="dxa"/>
              <w:right w:w="15" w:type="dxa"/>
            </w:tcMar>
            <w:vAlign w:val="center"/>
          </w:tcPr>
          <w:p>
            <w:pPr>
              <w:jc w:val="center"/>
              <w:rPr>
                <w:sz w:val="24"/>
              </w:rPr>
            </w:pPr>
            <w:r>
              <w:rPr>
                <w:rFonts w:hint="eastAsia"/>
                <w:sz w:val="24"/>
              </w:rPr>
              <w:t>1</w:t>
            </w:r>
          </w:p>
        </w:tc>
        <w:tc>
          <w:tcPr>
            <w:tcW w:w="2188" w:type="dxa"/>
            <w:tcMar>
              <w:top w:w="15" w:type="dxa"/>
              <w:left w:w="15" w:type="dxa"/>
              <w:bottom w:w="0" w:type="dxa"/>
              <w:right w:w="15" w:type="dxa"/>
            </w:tcMar>
            <w:vAlign w:val="center"/>
          </w:tcPr>
          <w:p>
            <w:pPr>
              <w:jc w:val="center"/>
              <w:rPr>
                <w:sz w:val="24"/>
              </w:rPr>
            </w:pPr>
            <w:r>
              <w:rPr>
                <w:rFonts w:hint="eastAsia"/>
                <w:sz w:val="24"/>
              </w:rPr>
              <w:t>企业法人营业执照</w:t>
            </w:r>
          </w:p>
        </w:tc>
        <w:tc>
          <w:tcPr>
            <w:tcW w:w="5580" w:type="dxa"/>
            <w:tcMar>
              <w:top w:w="15" w:type="dxa"/>
              <w:left w:w="15" w:type="dxa"/>
              <w:bottom w:w="0" w:type="dxa"/>
              <w:right w:w="15" w:type="dxa"/>
            </w:tcMar>
            <w:vAlign w:val="center"/>
          </w:tcPr>
          <w:p>
            <w:pPr>
              <w:rPr>
                <w:sz w:val="24"/>
              </w:rPr>
            </w:pPr>
            <w:r>
              <w:rPr>
                <w:rFonts w:hint="eastAsia"/>
                <w:sz w:val="24"/>
              </w:rPr>
              <w:t>具备独立法人资格。</w:t>
            </w:r>
          </w:p>
        </w:tc>
        <w:tc>
          <w:tcPr>
            <w:tcW w:w="1260" w:type="dxa"/>
            <w:tcMar>
              <w:top w:w="15" w:type="dxa"/>
              <w:left w:w="15" w:type="dxa"/>
              <w:bottom w:w="0" w:type="dxa"/>
              <w:right w:w="15" w:type="dxa"/>
            </w:tcMar>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92" w:type="dxa"/>
            <w:tcMar>
              <w:top w:w="15" w:type="dxa"/>
              <w:left w:w="15" w:type="dxa"/>
              <w:bottom w:w="0" w:type="dxa"/>
              <w:right w:w="15" w:type="dxa"/>
            </w:tcMar>
            <w:vAlign w:val="center"/>
          </w:tcPr>
          <w:p>
            <w:pPr>
              <w:jc w:val="center"/>
              <w:rPr>
                <w:rFonts w:hint="eastAsia" w:ascii="宋体" w:hAnsi="宋体" w:eastAsia="宋体" w:cs="Times New Roman"/>
                <w:kern w:val="2"/>
                <w:sz w:val="24"/>
                <w:szCs w:val="24"/>
                <w:lang w:val="en-US" w:eastAsia="zh-CN" w:bidi="ar-SA"/>
              </w:rPr>
            </w:pPr>
            <w:r>
              <w:rPr>
                <w:rFonts w:hint="eastAsia"/>
                <w:sz w:val="24"/>
              </w:rPr>
              <w:t>2</w:t>
            </w:r>
          </w:p>
        </w:tc>
        <w:tc>
          <w:tcPr>
            <w:tcW w:w="2188" w:type="dxa"/>
            <w:tcMar>
              <w:top w:w="15" w:type="dxa"/>
              <w:left w:w="15" w:type="dxa"/>
              <w:bottom w:w="0" w:type="dxa"/>
              <w:right w:w="15" w:type="dxa"/>
            </w:tcMar>
            <w:vAlign w:val="center"/>
          </w:tcPr>
          <w:p>
            <w:pPr>
              <w:jc w:val="center"/>
              <w:rPr>
                <w:rFonts w:hint="eastAsia" w:ascii="宋体" w:hAnsi="宋体" w:eastAsia="宋体" w:cs="Times New Roman"/>
                <w:kern w:val="2"/>
                <w:sz w:val="24"/>
                <w:szCs w:val="24"/>
                <w:lang w:val="en-US" w:eastAsia="zh-CN" w:bidi="ar-SA"/>
              </w:rPr>
            </w:pPr>
            <w:r>
              <w:rPr>
                <w:rFonts w:hint="eastAsia"/>
                <w:sz w:val="24"/>
              </w:rPr>
              <w:t>企业资格证书</w:t>
            </w:r>
          </w:p>
        </w:tc>
        <w:tc>
          <w:tcPr>
            <w:tcW w:w="5580" w:type="dxa"/>
            <w:tcMar>
              <w:top w:w="15" w:type="dxa"/>
              <w:left w:w="15" w:type="dxa"/>
              <w:bottom w:w="0" w:type="dxa"/>
              <w:right w:w="15" w:type="dxa"/>
            </w:tcMar>
            <w:vAlign w:val="center"/>
          </w:tcPr>
          <w:p>
            <w:pPr>
              <w:rPr>
                <w:rFonts w:hint="eastAsia" w:ascii="宋体" w:hAnsi="宋体" w:eastAsia="宋体" w:cs="Times New Roman"/>
                <w:kern w:val="2"/>
                <w:sz w:val="24"/>
                <w:szCs w:val="24"/>
                <w:lang w:val="en-US" w:eastAsia="zh-CN" w:bidi="ar-SA"/>
              </w:rPr>
            </w:pPr>
            <w:r>
              <w:rPr>
                <w:rFonts w:hint="eastAsia"/>
                <w:sz w:val="24"/>
              </w:rPr>
              <w:t>在宿州市公共资源交易中心名录登记备案入库的招标代理服务机构</w:t>
            </w:r>
          </w:p>
        </w:tc>
        <w:tc>
          <w:tcPr>
            <w:tcW w:w="1260" w:type="dxa"/>
            <w:tcMar>
              <w:top w:w="15" w:type="dxa"/>
              <w:left w:w="15" w:type="dxa"/>
              <w:bottom w:w="0" w:type="dxa"/>
              <w:right w:w="15" w:type="dxa"/>
            </w:tcMar>
            <w:vAlign w:val="center"/>
          </w:tcPr>
          <w:p>
            <w:pPr>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692" w:type="dxa"/>
            <w:tcMar>
              <w:top w:w="15" w:type="dxa"/>
              <w:left w:w="15" w:type="dxa"/>
              <w:bottom w:w="0" w:type="dxa"/>
              <w:right w:w="15" w:type="dxa"/>
            </w:tcMar>
            <w:vAlign w:val="center"/>
          </w:tcPr>
          <w:p>
            <w:pPr>
              <w:jc w:val="center"/>
              <w:rPr>
                <w:rFonts w:hint="eastAsia" w:ascii="宋体" w:hAnsi="宋体" w:eastAsia="宋体" w:cs="Times New Roman"/>
                <w:kern w:val="2"/>
                <w:sz w:val="24"/>
                <w:szCs w:val="24"/>
                <w:lang w:val="en-US" w:eastAsia="zh-CN" w:bidi="ar-SA"/>
              </w:rPr>
            </w:pPr>
            <w:r>
              <w:rPr>
                <w:rFonts w:hint="eastAsia"/>
                <w:sz w:val="24"/>
                <w:lang w:val="en-US" w:eastAsia="zh-CN"/>
              </w:rPr>
              <w:t>3</w:t>
            </w:r>
          </w:p>
        </w:tc>
        <w:tc>
          <w:tcPr>
            <w:tcW w:w="2188" w:type="dxa"/>
            <w:tcMar>
              <w:top w:w="15" w:type="dxa"/>
              <w:left w:w="15" w:type="dxa"/>
              <w:bottom w:w="0" w:type="dxa"/>
              <w:right w:w="15" w:type="dxa"/>
            </w:tcMar>
            <w:vAlign w:val="center"/>
          </w:tcPr>
          <w:p>
            <w:pPr>
              <w:jc w:val="center"/>
              <w:rPr>
                <w:rFonts w:ascii="宋体" w:hAnsi="宋体" w:eastAsia="宋体" w:cs="Times New Roman"/>
                <w:kern w:val="2"/>
                <w:sz w:val="24"/>
                <w:szCs w:val="24"/>
                <w:lang w:val="en-US" w:eastAsia="zh-CN" w:bidi="ar-SA"/>
              </w:rPr>
            </w:pPr>
            <w:r>
              <w:rPr>
                <w:rFonts w:hint="eastAsia" w:cs="Times New Roman"/>
                <w:kern w:val="2"/>
                <w:sz w:val="24"/>
                <w:szCs w:val="24"/>
                <w:lang w:val="en-US" w:eastAsia="zh-CN" w:bidi="ar-SA"/>
              </w:rPr>
              <w:t>企业信誉</w:t>
            </w:r>
          </w:p>
        </w:tc>
        <w:tc>
          <w:tcPr>
            <w:tcW w:w="5580" w:type="dxa"/>
            <w:tcMar>
              <w:top w:w="15" w:type="dxa"/>
              <w:left w:w="15" w:type="dxa"/>
              <w:bottom w:w="0" w:type="dxa"/>
              <w:right w:w="15" w:type="dxa"/>
            </w:tcMar>
            <w:vAlign w:val="center"/>
          </w:tcPr>
          <w:p>
            <w:pPr>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具有良好的社会信誉，具有独立承担民事责任能力。</w:t>
            </w:r>
          </w:p>
        </w:tc>
        <w:tc>
          <w:tcPr>
            <w:tcW w:w="1260" w:type="dxa"/>
            <w:tcMar>
              <w:top w:w="15" w:type="dxa"/>
              <w:left w:w="15" w:type="dxa"/>
              <w:bottom w:w="0" w:type="dxa"/>
              <w:right w:w="15" w:type="dxa"/>
            </w:tcMar>
            <w:vAlign w:val="center"/>
          </w:tcPr>
          <w:p>
            <w:pPr>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692" w:type="dxa"/>
            <w:tcMar>
              <w:top w:w="15" w:type="dxa"/>
              <w:left w:w="15" w:type="dxa"/>
              <w:bottom w:w="0" w:type="dxa"/>
              <w:right w:w="15" w:type="dxa"/>
            </w:tcMar>
            <w:vAlign w:val="center"/>
          </w:tcPr>
          <w:p>
            <w:pPr>
              <w:jc w:val="center"/>
              <w:rPr>
                <w:rFonts w:hint="eastAsia" w:eastAsia="宋体"/>
                <w:sz w:val="24"/>
                <w:lang w:val="en-US" w:eastAsia="zh-CN"/>
              </w:rPr>
            </w:pPr>
            <w:r>
              <w:rPr>
                <w:rFonts w:hint="eastAsia"/>
                <w:sz w:val="24"/>
                <w:lang w:val="en-US" w:eastAsia="zh-CN"/>
              </w:rPr>
              <w:t>4</w:t>
            </w:r>
          </w:p>
        </w:tc>
        <w:tc>
          <w:tcPr>
            <w:tcW w:w="2188" w:type="dxa"/>
            <w:tcMar>
              <w:top w:w="15" w:type="dxa"/>
              <w:left w:w="15" w:type="dxa"/>
              <w:bottom w:w="0" w:type="dxa"/>
              <w:right w:w="15" w:type="dxa"/>
            </w:tcMar>
            <w:vAlign w:val="center"/>
          </w:tcPr>
          <w:p>
            <w:pPr>
              <w:jc w:val="center"/>
              <w:rPr>
                <w:rFonts w:hint="eastAsia" w:eastAsia="宋体"/>
                <w:sz w:val="24"/>
                <w:lang w:eastAsia="zh-CN"/>
              </w:rPr>
            </w:pPr>
            <w:r>
              <w:rPr>
                <w:rFonts w:hint="eastAsia"/>
                <w:sz w:val="24"/>
                <w:lang w:eastAsia="zh-CN"/>
              </w:rPr>
              <w:t>项目负责人</w:t>
            </w:r>
          </w:p>
        </w:tc>
        <w:tc>
          <w:tcPr>
            <w:tcW w:w="5580" w:type="dxa"/>
            <w:tcMar>
              <w:top w:w="15" w:type="dxa"/>
              <w:left w:w="15" w:type="dxa"/>
              <w:bottom w:w="0" w:type="dxa"/>
              <w:right w:w="15" w:type="dxa"/>
            </w:tcMar>
            <w:vAlign w:val="center"/>
          </w:tcPr>
          <w:p>
            <w:pPr>
              <w:rPr>
                <w:sz w:val="24"/>
              </w:rPr>
            </w:pPr>
            <w:r>
              <w:rPr>
                <w:rFonts w:hint="eastAsia"/>
                <w:sz w:val="24"/>
              </w:rPr>
              <w:t>拟派项目负责人须具备</w:t>
            </w:r>
            <w:r>
              <w:rPr>
                <w:rFonts w:hint="eastAsia"/>
                <w:sz w:val="24"/>
                <w:lang w:eastAsia="zh-CN"/>
              </w:rPr>
              <w:t>三</w:t>
            </w:r>
            <w:r>
              <w:rPr>
                <w:rFonts w:hint="eastAsia"/>
                <w:sz w:val="24"/>
              </w:rPr>
              <w:t>年以上工作经验，并且熟悉招标代理相关的法律、法规，了解市场，具备良好的职业道德和严谨的工作作风。且拟派项目负责人需跟进本次招标服务全过程，如发现拟派项目负责人无故缺席，发包单位有权直接终止合同。</w:t>
            </w:r>
            <w:r>
              <w:rPr>
                <w:rFonts w:hint="eastAsia"/>
                <w:sz w:val="24"/>
                <w:lang w:eastAsia="zh-CN"/>
              </w:rPr>
              <w:t>（由比选人提供相关证明或承诺）</w:t>
            </w:r>
          </w:p>
        </w:tc>
        <w:tc>
          <w:tcPr>
            <w:tcW w:w="1260" w:type="dxa"/>
            <w:tcMar>
              <w:top w:w="15" w:type="dxa"/>
              <w:left w:w="15" w:type="dxa"/>
              <w:bottom w:w="0" w:type="dxa"/>
              <w:right w:w="15" w:type="dxa"/>
            </w:tcMar>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92" w:type="dxa"/>
            <w:tcMar>
              <w:top w:w="15" w:type="dxa"/>
              <w:left w:w="15" w:type="dxa"/>
              <w:bottom w:w="0" w:type="dxa"/>
              <w:right w:w="15" w:type="dxa"/>
            </w:tcMar>
            <w:vAlign w:val="center"/>
          </w:tcPr>
          <w:p>
            <w:pPr>
              <w:spacing w:line="500" w:lineRule="exact"/>
              <w:jc w:val="center"/>
              <w:rPr>
                <w:sz w:val="24"/>
              </w:rPr>
            </w:pPr>
            <w:r>
              <w:rPr>
                <w:rFonts w:hint="eastAsia"/>
                <w:sz w:val="24"/>
              </w:rPr>
              <w:t>3</w:t>
            </w:r>
          </w:p>
        </w:tc>
        <w:tc>
          <w:tcPr>
            <w:tcW w:w="2188" w:type="dxa"/>
            <w:tcMar>
              <w:top w:w="15" w:type="dxa"/>
              <w:left w:w="15" w:type="dxa"/>
              <w:bottom w:w="0" w:type="dxa"/>
              <w:right w:w="15" w:type="dxa"/>
            </w:tcMar>
            <w:vAlign w:val="center"/>
          </w:tcPr>
          <w:p>
            <w:pPr>
              <w:spacing w:line="500" w:lineRule="exact"/>
              <w:jc w:val="center"/>
              <w:rPr>
                <w:sz w:val="24"/>
              </w:rPr>
            </w:pPr>
            <w:r>
              <w:rPr>
                <w:rFonts w:hint="eastAsia"/>
                <w:sz w:val="24"/>
              </w:rPr>
              <w:t>结论</w:t>
            </w:r>
          </w:p>
        </w:tc>
        <w:tc>
          <w:tcPr>
            <w:tcW w:w="5580" w:type="dxa"/>
            <w:tcMar>
              <w:top w:w="15" w:type="dxa"/>
              <w:left w:w="15" w:type="dxa"/>
              <w:bottom w:w="0" w:type="dxa"/>
              <w:right w:w="15" w:type="dxa"/>
            </w:tcMar>
            <w:vAlign w:val="center"/>
          </w:tcPr>
          <w:p>
            <w:pPr>
              <w:rPr>
                <w:sz w:val="24"/>
              </w:rPr>
            </w:pPr>
            <w:r>
              <w:rPr>
                <w:rFonts w:hint="eastAsia"/>
                <w:sz w:val="24"/>
              </w:rPr>
              <w:t>以上条件必须全部通过</w:t>
            </w:r>
          </w:p>
        </w:tc>
        <w:tc>
          <w:tcPr>
            <w:tcW w:w="1260" w:type="dxa"/>
            <w:tcMar>
              <w:top w:w="15" w:type="dxa"/>
              <w:left w:w="15" w:type="dxa"/>
              <w:bottom w:w="0" w:type="dxa"/>
              <w:right w:w="15" w:type="dxa"/>
            </w:tcMar>
            <w:vAlign w:val="center"/>
          </w:tcPr>
          <w:p>
            <w:pPr>
              <w:jc w:val="center"/>
              <w:rPr>
                <w:sz w:val="24"/>
              </w:rPr>
            </w:pPr>
          </w:p>
        </w:tc>
      </w:tr>
    </w:tbl>
    <w:p>
      <w:pPr>
        <w:pStyle w:val="6"/>
        <w:ind w:firstLine="281"/>
      </w:pPr>
      <w:bookmarkStart w:id="5" w:name="_Toc34987246"/>
      <w:r>
        <w:rPr>
          <w:rFonts w:hint="eastAsia"/>
        </w:rPr>
        <w:t>四、初步评审</w:t>
      </w:r>
      <w:bookmarkEnd w:id="5"/>
    </w:p>
    <w:p>
      <w:pPr>
        <w:spacing w:line="360" w:lineRule="auto"/>
        <w:ind w:firstLine="470" w:firstLineChars="196"/>
        <w:rPr>
          <w:bCs/>
          <w:sz w:val="24"/>
        </w:rPr>
      </w:pPr>
      <w:r>
        <w:rPr>
          <w:rFonts w:hint="eastAsia"/>
          <w:sz w:val="24"/>
        </w:rPr>
        <w:t>4.1 初步评审主要为</w:t>
      </w:r>
      <w:r>
        <w:rPr>
          <w:rFonts w:hint="eastAsia"/>
          <w:bCs/>
          <w:sz w:val="24"/>
        </w:rPr>
        <w:t>评审委员会对各</w:t>
      </w:r>
      <w:r>
        <w:rPr>
          <w:rFonts w:hint="eastAsia"/>
          <w:sz w:val="24"/>
        </w:rPr>
        <w:t>比选申请文件</w:t>
      </w:r>
      <w:r>
        <w:rPr>
          <w:rFonts w:hint="eastAsia"/>
          <w:bCs/>
          <w:sz w:val="24"/>
        </w:rPr>
        <w:t>是否在实质上响应了比选文件要求进行评审。</w:t>
      </w:r>
    </w:p>
    <w:p>
      <w:pPr>
        <w:spacing w:line="360" w:lineRule="auto"/>
        <w:ind w:firstLine="470" w:firstLineChars="196"/>
        <w:rPr>
          <w:sz w:val="24"/>
        </w:rPr>
      </w:pPr>
      <w:r>
        <w:rPr>
          <w:rFonts w:hint="eastAsia"/>
          <w:sz w:val="24"/>
        </w:rPr>
        <w:t>4.2若比选申请文件有下表中所列任何一种情况的，则视为未能在实质上响应比选文件，属重大偏差，将不进入详细评审。</w:t>
      </w:r>
    </w:p>
    <w:p>
      <w:pPr>
        <w:spacing w:line="360" w:lineRule="auto"/>
        <w:jc w:val="center"/>
        <w:rPr>
          <w:b/>
          <w:bCs/>
          <w:sz w:val="24"/>
        </w:rPr>
      </w:pPr>
      <w:r>
        <w:rPr>
          <w:rFonts w:hint="eastAsia"/>
          <w:b/>
          <w:bCs/>
          <w:sz w:val="24"/>
        </w:rPr>
        <w:t>比选申请文件初步评审表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8" w:type="dxa"/>
            <w:tcBorders>
              <w:top w:val="single" w:color="auto" w:sz="12" w:space="0"/>
              <w:left w:val="single" w:color="auto" w:sz="12" w:space="0"/>
            </w:tcBorders>
            <w:vAlign w:val="center"/>
          </w:tcPr>
          <w:p>
            <w:pPr>
              <w:spacing w:line="360" w:lineRule="auto"/>
              <w:jc w:val="center"/>
              <w:rPr>
                <w:sz w:val="24"/>
              </w:rPr>
            </w:pPr>
            <w:r>
              <w:rPr>
                <w:rFonts w:hint="eastAsia"/>
                <w:sz w:val="24"/>
              </w:rPr>
              <w:t>序号</w:t>
            </w:r>
          </w:p>
        </w:tc>
        <w:tc>
          <w:tcPr>
            <w:tcW w:w="6500" w:type="dxa"/>
            <w:tcBorders>
              <w:top w:val="single" w:color="auto" w:sz="12" w:space="0"/>
            </w:tcBorders>
            <w:vAlign w:val="center"/>
          </w:tcPr>
          <w:p>
            <w:pPr>
              <w:spacing w:line="360" w:lineRule="auto"/>
              <w:jc w:val="center"/>
              <w:rPr>
                <w:sz w:val="24"/>
              </w:rPr>
            </w:pPr>
            <w:r>
              <w:rPr>
                <w:rFonts w:hint="eastAsia"/>
                <w:sz w:val="24"/>
              </w:rPr>
              <w:t>重大偏差情况</w:t>
            </w:r>
          </w:p>
        </w:tc>
        <w:tc>
          <w:tcPr>
            <w:tcW w:w="1900" w:type="dxa"/>
            <w:tcBorders>
              <w:top w:val="single" w:color="auto" w:sz="12" w:space="0"/>
              <w:right w:val="single" w:color="auto" w:sz="12" w:space="0"/>
            </w:tcBorders>
            <w:vAlign w:val="center"/>
          </w:tcPr>
          <w:p>
            <w:pPr>
              <w:spacing w:line="300" w:lineRule="exact"/>
              <w:jc w:val="center"/>
              <w:rPr>
                <w:sz w:val="24"/>
              </w:rPr>
            </w:pPr>
            <w:r>
              <w:rPr>
                <w:rFonts w:hint="eastAsia"/>
                <w:sz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708" w:type="dxa"/>
            <w:tcBorders>
              <w:left w:val="single" w:color="auto" w:sz="12" w:space="0"/>
            </w:tcBorders>
            <w:vAlign w:val="center"/>
          </w:tcPr>
          <w:p>
            <w:pPr>
              <w:jc w:val="center"/>
              <w:rPr>
                <w:sz w:val="24"/>
              </w:rPr>
            </w:pPr>
            <w:r>
              <w:rPr>
                <w:rFonts w:hint="eastAsia"/>
                <w:sz w:val="24"/>
              </w:rPr>
              <w:t>1</w:t>
            </w:r>
          </w:p>
        </w:tc>
        <w:tc>
          <w:tcPr>
            <w:tcW w:w="6500" w:type="dxa"/>
            <w:vAlign w:val="center"/>
          </w:tcPr>
          <w:p>
            <w:pPr>
              <w:ind w:left="48" w:hanging="48" w:hangingChars="20"/>
              <w:rPr>
                <w:sz w:val="24"/>
              </w:rPr>
            </w:pPr>
            <w:r>
              <w:rPr>
                <w:rFonts w:hint="eastAsia"/>
                <w:sz w:val="24"/>
              </w:rPr>
              <w:t>比选申请文件签字或盖章不符合比选文件要求的</w:t>
            </w:r>
          </w:p>
        </w:tc>
        <w:tc>
          <w:tcPr>
            <w:tcW w:w="1900"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Borders>
              <w:left w:val="single" w:color="auto" w:sz="12" w:space="0"/>
            </w:tcBorders>
            <w:vAlign w:val="center"/>
          </w:tcPr>
          <w:p>
            <w:pPr>
              <w:jc w:val="center"/>
              <w:rPr>
                <w:sz w:val="24"/>
              </w:rPr>
            </w:pPr>
            <w:r>
              <w:rPr>
                <w:rFonts w:hint="eastAsia"/>
                <w:sz w:val="24"/>
              </w:rPr>
              <w:t>2</w:t>
            </w:r>
          </w:p>
        </w:tc>
        <w:tc>
          <w:tcPr>
            <w:tcW w:w="6500" w:type="dxa"/>
            <w:vAlign w:val="center"/>
          </w:tcPr>
          <w:p>
            <w:pPr>
              <w:ind w:left="48" w:hanging="48" w:hangingChars="20"/>
              <w:rPr>
                <w:sz w:val="24"/>
              </w:rPr>
            </w:pPr>
            <w:r>
              <w:rPr>
                <w:rFonts w:hint="eastAsia"/>
                <w:bCs/>
                <w:sz w:val="24"/>
                <w:szCs w:val="18"/>
              </w:rPr>
              <w:t>明显不符合国家有关法规、文件和标准的要求</w:t>
            </w:r>
            <w:r>
              <w:rPr>
                <w:rFonts w:hint="eastAsia"/>
                <w:sz w:val="24"/>
              </w:rPr>
              <w:t>的</w:t>
            </w:r>
          </w:p>
        </w:tc>
        <w:tc>
          <w:tcPr>
            <w:tcW w:w="1900" w:type="dxa"/>
            <w:tcBorders>
              <w:right w:val="single" w:color="auto" w:sz="12"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8" w:type="dxa"/>
            <w:tcBorders>
              <w:left w:val="single" w:color="auto" w:sz="12" w:space="0"/>
            </w:tcBorders>
            <w:vAlign w:val="center"/>
          </w:tcPr>
          <w:p>
            <w:pPr>
              <w:jc w:val="center"/>
              <w:rPr>
                <w:sz w:val="24"/>
              </w:rPr>
            </w:pPr>
            <w:r>
              <w:rPr>
                <w:rFonts w:hint="eastAsia"/>
                <w:sz w:val="24"/>
              </w:rPr>
              <w:t>3</w:t>
            </w:r>
          </w:p>
        </w:tc>
        <w:tc>
          <w:tcPr>
            <w:tcW w:w="6500" w:type="dxa"/>
            <w:vAlign w:val="center"/>
          </w:tcPr>
          <w:p>
            <w:pPr>
              <w:ind w:left="48" w:hanging="48" w:hangingChars="20"/>
              <w:rPr>
                <w:sz w:val="24"/>
              </w:rPr>
            </w:pPr>
            <w:r>
              <w:rPr>
                <w:rFonts w:hint="eastAsia"/>
                <w:sz w:val="24"/>
              </w:rPr>
              <w:t>比选申请文件内容不全或关键字迹模糊、无法辨认的</w:t>
            </w:r>
          </w:p>
        </w:tc>
        <w:tc>
          <w:tcPr>
            <w:tcW w:w="1900"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8" w:type="dxa"/>
            <w:tcBorders>
              <w:left w:val="single" w:color="auto" w:sz="12" w:space="0"/>
            </w:tcBorders>
            <w:vAlign w:val="center"/>
          </w:tcPr>
          <w:p>
            <w:pPr>
              <w:jc w:val="center"/>
              <w:rPr>
                <w:sz w:val="24"/>
              </w:rPr>
            </w:pPr>
            <w:r>
              <w:rPr>
                <w:rFonts w:hint="eastAsia"/>
                <w:sz w:val="24"/>
              </w:rPr>
              <w:t>4</w:t>
            </w:r>
          </w:p>
        </w:tc>
        <w:tc>
          <w:tcPr>
            <w:tcW w:w="6500" w:type="dxa"/>
            <w:vAlign w:val="center"/>
          </w:tcPr>
          <w:p>
            <w:pPr>
              <w:widowControl/>
              <w:adjustRightInd w:val="0"/>
              <w:snapToGrid w:val="0"/>
              <w:ind w:left="62" w:hanging="62"/>
              <w:jc w:val="left"/>
              <w:rPr>
                <w:sz w:val="24"/>
              </w:rPr>
            </w:pPr>
            <w:r>
              <w:rPr>
                <w:rFonts w:hint="eastAsia"/>
                <w:sz w:val="24"/>
              </w:rPr>
              <w:t>比选申请人的报价不符合比选文件规定的</w:t>
            </w:r>
          </w:p>
        </w:tc>
        <w:tc>
          <w:tcPr>
            <w:tcW w:w="1900"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8" w:type="dxa"/>
            <w:tcBorders>
              <w:left w:val="single" w:color="auto" w:sz="12" w:space="0"/>
            </w:tcBorders>
            <w:vAlign w:val="center"/>
          </w:tcPr>
          <w:p>
            <w:pPr>
              <w:jc w:val="center"/>
              <w:rPr>
                <w:sz w:val="24"/>
              </w:rPr>
            </w:pPr>
            <w:r>
              <w:rPr>
                <w:rFonts w:hint="eastAsia"/>
                <w:sz w:val="24"/>
              </w:rPr>
              <w:t>5</w:t>
            </w:r>
          </w:p>
        </w:tc>
        <w:tc>
          <w:tcPr>
            <w:tcW w:w="6500" w:type="dxa"/>
            <w:vAlign w:val="center"/>
          </w:tcPr>
          <w:p>
            <w:pPr>
              <w:ind w:left="48" w:hanging="48" w:hangingChars="20"/>
              <w:rPr>
                <w:sz w:val="24"/>
              </w:rPr>
            </w:pPr>
            <w:r>
              <w:rPr>
                <w:rFonts w:hint="eastAsia"/>
                <w:sz w:val="24"/>
              </w:rPr>
              <w:t>比选申请文件附有比选人不能接受的条件的</w:t>
            </w:r>
          </w:p>
        </w:tc>
        <w:tc>
          <w:tcPr>
            <w:tcW w:w="1900"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8" w:type="dxa"/>
            <w:gridSpan w:val="2"/>
            <w:tcBorders>
              <w:left w:val="single" w:color="auto" w:sz="12" w:space="0"/>
            </w:tcBorders>
            <w:vAlign w:val="center"/>
          </w:tcPr>
          <w:p>
            <w:pPr>
              <w:ind w:firstLine="120"/>
              <w:jc w:val="center"/>
              <w:rPr>
                <w:sz w:val="24"/>
              </w:rPr>
            </w:pPr>
            <w:r>
              <w:rPr>
                <w:rFonts w:hint="eastAsia"/>
                <w:sz w:val="24"/>
              </w:rPr>
              <w:t>结论（应填写“通过”或“不通过”）</w:t>
            </w:r>
          </w:p>
        </w:tc>
        <w:tc>
          <w:tcPr>
            <w:tcW w:w="1900" w:type="dxa"/>
            <w:tcBorders>
              <w:right w:val="single" w:color="auto" w:sz="12" w:space="0"/>
            </w:tcBorders>
            <w:vAlign w:val="center"/>
          </w:tcPr>
          <w:p>
            <w:pPr>
              <w:rPr>
                <w:sz w:val="24"/>
              </w:rPr>
            </w:pPr>
          </w:p>
        </w:tc>
      </w:tr>
    </w:tbl>
    <w:p>
      <w:pPr>
        <w:spacing w:line="360" w:lineRule="auto"/>
        <w:ind w:firstLine="470" w:firstLineChars="196"/>
        <w:rPr>
          <w:sz w:val="24"/>
        </w:rPr>
      </w:pPr>
      <w:r>
        <w:rPr>
          <w:rFonts w:hint="eastAsia"/>
          <w:sz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pPr>
        <w:pStyle w:val="6"/>
        <w:ind w:firstLine="281"/>
      </w:pPr>
      <w:bookmarkStart w:id="6" w:name="_Toc34987247"/>
      <w:r>
        <w:rPr>
          <w:rFonts w:hint="eastAsia"/>
        </w:rPr>
        <w:t>五、评审、排名</w:t>
      </w:r>
      <w:bookmarkEnd w:id="6"/>
    </w:p>
    <w:p>
      <w:pPr>
        <w:spacing w:line="360" w:lineRule="auto"/>
        <w:ind w:firstLine="710" w:firstLineChars="296"/>
        <w:rPr>
          <w:rFonts w:hint="default"/>
          <w:sz w:val="24"/>
          <w:lang w:val="en-US" w:eastAsia="zh-CN"/>
        </w:rPr>
      </w:pPr>
      <w:r>
        <w:rPr>
          <w:rFonts w:hint="eastAsia"/>
          <w:sz w:val="24"/>
          <w:lang w:val="en-US" w:eastAsia="zh-CN"/>
        </w:rPr>
        <w:t>评审委员会对通过初步评审的比选申请人按照经评审的综合评分法进行评标，评标满分为100分，评审委员推荐排名前三名的候选人，最终结果由萧县龙城高新建设投资管理有限责任公司全体成员大会讨论产生，公示期3天。</w:t>
      </w:r>
    </w:p>
    <w:tbl>
      <w:tblPr>
        <w:tblStyle w:val="9"/>
        <w:tblW w:w="10828" w:type="dxa"/>
        <w:tblInd w:w="-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9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1646" w:type="dxa"/>
            <w:tcBorders>
              <w:top w:val="single" w:color="auto" w:sz="4" w:space="0"/>
              <w:left w:val="single" w:color="auto" w:sz="4" w:space="0"/>
              <w:bottom w:val="single" w:color="auto" w:sz="4" w:space="0"/>
              <w:right w:val="single" w:color="auto" w:sz="4" w:space="0"/>
            </w:tcBorders>
            <w:vAlign w:val="center"/>
          </w:tcPr>
          <w:p>
            <w:pPr>
              <w:rPr>
                <w:rFonts w:cs="宋体"/>
                <w:sz w:val="24"/>
              </w:rPr>
            </w:pPr>
            <w:r>
              <w:rPr>
                <w:rFonts w:hint="eastAsia" w:cs="宋体"/>
                <w:sz w:val="24"/>
              </w:rPr>
              <w:t>分</w:t>
            </w:r>
            <w:r>
              <w:rPr>
                <w:rFonts w:hint="eastAsia" w:cs="宋体"/>
                <w:sz w:val="24"/>
                <w:lang w:eastAsia="zh-CN"/>
              </w:rPr>
              <w:t>数</w:t>
            </w:r>
            <w:r>
              <w:rPr>
                <w:rFonts w:hint="eastAsia" w:cs="宋体"/>
                <w:sz w:val="24"/>
              </w:rPr>
              <w:t>（</w:t>
            </w:r>
            <w:r>
              <w:rPr>
                <w:rFonts w:hint="eastAsia" w:cs="宋体"/>
                <w:sz w:val="24"/>
                <w:lang w:val="en-US" w:eastAsia="zh-CN"/>
              </w:rPr>
              <w:t>10</w:t>
            </w:r>
            <w:r>
              <w:rPr>
                <w:rFonts w:hint="eastAsia" w:cs="宋体"/>
                <w:sz w:val="24"/>
              </w:rPr>
              <w:t>0分）</w:t>
            </w:r>
          </w:p>
        </w:tc>
        <w:tc>
          <w:tcPr>
            <w:tcW w:w="9182" w:type="dxa"/>
            <w:tcBorders>
              <w:top w:val="single" w:color="auto" w:sz="4" w:space="0"/>
              <w:left w:val="single" w:color="auto" w:sz="4" w:space="0"/>
              <w:bottom w:val="single" w:color="auto" w:sz="4" w:space="0"/>
              <w:right w:val="single" w:color="auto" w:sz="4" w:space="0"/>
            </w:tcBorders>
            <w:vAlign w:val="center"/>
          </w:tcPr>
          <w:p>
            <w:pPr>
              <w:rPr>
                <w:rFonts w:cs="宋体"/>
                <w:sz w:val="24"/>
              </w:rPr>
            </w:pPr>
            <w:r>
              <w:rPr>
                <w:rFonts w:hint="eastAsia" w:cs="宋体"/>
                <w:sz w:val="24"/>
              </w:rPr>
              <w:t>评审标准：</w:t>
            </w:r>
          </w:p>
          <w:p>
            <w:pPr>
              <w:pStyle w:val="2"/>
              <w:ind w:left="0" w:firstLine="0" w:firstLineChars="0"/>
              <w:rPr>
                <w:rFonts w:cs="宋体"/>
                <w:sz w:val="24"/>
              </w:rPr>
            </w:pPr>
            <w:r>
              <w:rPr>
                <w:rFonts w:hint="eastAsia" w:cs="宋体"/>
                <w:sz w:val="24"/>
              </w:rPr>
              <w:t>1.企业业绩（24分）</w:t>
            </w:r>
          </w:p>
          <w:p>
            <w:pPr>
              <w:pStyle w:val="2"/>
              <w:ind w:left="0" w:firstLine="0" w:firstLineChars="0"/>
              <w:rPr>
                <w:rFonts w:hint="eastAsia" w:eastAsia="宋体" w:cs="宋体"/>
                <w:sz w:val="24"/>
                <w:lang w:val="en-US" w:eastAsia="zh-CN"/>
              </w:rPr>
            </w:pPr>
            <w:r>
              <w:rPr>
                <w:rFonts w:hint="eastAsia" w:cs="宋体"/>
                <w:sz w:val="24"/>
              </w:rPr>
              <w:t>比选人在宿州市开展的招标代理项目数量在350个以上的得</w:t>
            </w:r>
            <w:r>
              <w:rPr>
                <w:rFonts w:hint="eastAsia" w:cs="宋体"/>
                <w:sz w:val="24"/>
                <w:lang w:val="en-US" w:eastAsia="zh-CN"/>
              </w:rPr>
              <w:t>24</w:t>
            </w:r>
            <w:r>
              <w:rPr>
                <w:rFonts w:hint="eastAsia" w:cs="宋体"/>
                <w:sz w:val="24"/>
              </w:rPr>
              <w:t>分，招标代理项目数量在300-349个的得14分，招标代理项目数量200-300个的得10分，招标代理项目数量100-200的得5分，招标代理项目数量在100以下的不得分</w:t>
            </w:r>
            <w:r>
              <w:rPr>
                <w:rFonts w:hint="eastAsia" w:cs="宋体"/>
                <w:sz w:val="24"/>
                <w:lang w:eastAsia="zh-CN"/>
              </w:rPr>
              <w:t>。</w:t>
            </w:r>
          </w:p>
          <w:p>
            <w:pPr>
              <w:pStyle w:val="2"/>
              <w:ind w:left="0" w:firstLine="0" w:firstLineChars="0"/>
              <w:rPr>
                <w:rFonts w:cs="宋体"/>
                <w:sz w:val="24"/>
              </w:rPr>
            </w:pPr>
            <w:r>
              <w:rPr>
                <w:rFonts w:hint="eastAsia" w:cs="宋体"/>
                <w:sz w:val="24"/>
              </w:rPr>
              <w:t>（注：比选人须提供宿州市公共资源交易中心官方网站</w:t>
            </w:r>
            <w:r>
              <w:fldChar w:fldCharType="begin"/>
            </w:r>
            <w:r>
              <w:instrText xml:space="preserve"> HYPERLINK "http://ggzyjy.ahsz.gov.cn/szfront/showinfo/DaiLiInfo.aspx" </w:instrText>
            </w:r>
            <w:r>
              <w:fldChar w:fldCharType="separate"/>
            </w:r>
            <w:r>
              <w:rPr>
                <w:rStyle w:val="11"/>
                <w:rFonts w:cs="宋体"/>
                <w:sz w:val="24"/>
              </w:rPr>
              <w:t>http://ggzyjy.ahsz.gov.cn/szfront/showinfo/DaiLiInfo.aspx</w:t>
            </w:r>
            <w:r>
              <w:rPr>
                <w:rStyle w:val="11"/>
                <w:rFonts w:cs="宋体"/>
                <w:sz w:val="24"/>
              </w:rPr>
              <w:fldChar w:fldCharType="end"/>
            </w:r>
          </w:p>
          <w:p>
            <w:pPr>
              <w:pStyle w:val="2"/>
              <w:ind w:left="0" w:firstLine="0" w:firstLineChars="0"/>
              <w:rPr>
                <w:rFonts w:cs="宋体"/>
                <w:sz w:val="24"/>
              </w:rPr>
            </w:pPr>
            <w:r>
              <w:rPr>
                <w:rFonts w:hint="eastAsia" w:cs="宋体"/>
                <w:sz w:val="24"/>
              </w:rPr>
              <w:t>-名录登记-执业信息页面截图，招标代理项目数量以上述截图中的数量为准。）</w:t>
            </w:r>
          </w:p>
          <w:p>
            <w:pPr>
              <w:pStyle w:val="2"/>
              <w:ind w:left="0" w:firstLine="0" w:firstLineChars="0"/>
              <w:rPr>
                <w:rFonts w:cs="宋体"/>
                <w:sz w:val="24"/>
              </w:rPr>
            </w:pPr>
            <w:r>
              <w:rPr>
                <w:rFonts w:hint="eastAsia" w:cs="宋体"/>
                <w:sz w:val="24"/>
                <w:lang w:val="en-US" w:eastAsia="zh-CN"/>
              </w:rPr>
              <w:t>2</w:t>
            </w:r>
            <w:r>
              <w:rPr>
                <w:rFonts w:hint="eastAsia" w:cs="宋体"/>
                <w:sz w:val="24"/>
              </w:rPr>
              <w:t>.企业专业人员（40分）</w:t>
            </w:r>
          </w:p>
          <w:p>
            <w:pPr>
              <w:pStyle w:val="2"/>
              <w:ind w:left="0" w:firstLine="0" w:firstLineChars="0"/>
              <w:rPr>
                <w:rFonts w:cs="宋体"/>
                <w:sz w:val="24"/>
              </w:rPr>
            </w:pPr>
            <w:r>
              <w:rPr>
                <w:rFonts w:hint="eastAsia" w:cs="宋体"/>
                <w:sz w:val="24"/>
              </w:rPr>
              <w:t>（1）比选人具备持有招标师资格证书人员的，每增加一名得3分，满分15分；</w:t>
            </w:r>
          </w:p>
          <w:p>
            <w:pPr>
              <w:pStyle w:val="2"/>
              <w:ind w:left="0" w:firstLine="0" w:firstLineChars="0"/>
              <w:rPr>
                <w:rFonts w:cs="宋体"/>
                <w:sz w:val="24"/>
              </w:rPr>
            </w:pPr>
            <w:r>
              <w:rPr>
                <w:rFonts w:hint="eastAsia" w:cs="宋体"/>
                <w:sz w:val="24"/>
              </w:rPr>
              <w:t>（2）比选人具备持有法律职业从业资格证人员的，每增加一名得5分，满分25分，没有的不得分。</w:t>
            </w:r>
          </w:p>
          <w:p>
            <w:pPr>
              <w:pStyle w:val="2"/>
              <w:ind w:left="0" w:firstLine="0" w:firstLineChars="0"/>
              <w:rPr>
                <w:rFonts w:cs="宋体"/>
                <w:sz w:val="24"/>
                <w:highlight w:val="none"/>
              </w:rPr>
            </w:pPr>
            <w:r>
              <w:rPr>
                <w:rFonts w:hint="eastAsia" w:cs="宋体"/>
                <w:sz w:val="24"/>
                <w:highlight w:val="none"/>
              </w:rPr>
              <w:t>以上评分项提供相关证书以及持证人近一个月的社保缴纳证明。</w:t>
            </w:r>
          </w:p>
          <w:p>
            <w:pPr>
              <w:pStyle w:val="2"/>
              <w:ind w:left="0" w:firstLine="0" w:firstLineChars="0"/>
              <w:rPr>
                <w:rFonts w:cs="宋体"/>
                <w:sz w:val="24"/>
              </w:rPr>
            </w:pPr>
            <w:r>
              <w:rPr>
                <w:rFonts w:hint="eastAsia" w:cs="宋体"/>
                <w:sz w:val="24"/>
                <w:lang w:val="en-US" w:eastAsia="zh-CN"/>
              </w:rPr>
              <w:t>3</w:t>
            </w:r>
            <w:r>
              <w:rPr>
                <w:rFonts w:hint="eastAsia" w:cs="宋体"/>
                <w:sz w:val="24"/>
              </w:rPr>
              <w:t>.企业综合实力(36分</w:t>
            </w:r>
            <w:r>
              <w:rPr>
                <w:rFonts w:cs="宋体"/>
                <w:sz w:val="24"/>
              </w:rPr>
              <w:t>)</w:t>
            </w:r>
          </w:p>
          <w:p>
            <w:pPr>
              <w:pStyle w:val="2"/>
              <w:ind w:left="0" w:firstLine="0" w:firstLineChars="0"/>
              <w:rPr>
                <w:rFonts w:cs="宋体"/>
                <w:sz w:val="24"/>
              </w:rPr>
            </w:pPr>
            <w:r>
              <w:rPr>
                <w:rFonts w:hint="eastAsia" w:cs="宋体"/>
                <w:sz w:val="24"/>
              </w:rPr>
              <w:t>（1）比选人具有中国国家认证认可监督管理委员会认可的认证机构颁发的质量管理体系认证证书、环境管理体系认证证书、职业健康安全管理体系认证证书，认证证书在有效期内且认证范围包括招标采购咨询</w:t>
            </w:r>
            <w:r>
              <w:rPr>
                <w:rFonts w:cs="宋体"/>
                <w:sz w:val="24"/>
              </w:rPr>
              <w:t>，每提供一项得</w:t>
            </w:r>
            <w:r>
              <w:rPr>
                <w:rFonts w:hint="eastAsia" w:cs="宋体"/>
                <w:sz w:val="24"/>
              </w:rPr>
              <w:t>2</w:t>
            </w:r>
            <w:r>
              <w:rPr>
                <w:rFonts w:cs="宋体"/>
                <w:sz w:val="24"/>
              </w:rPr>
              <w:t>分，最高得</w:t>
            </w:r>
            <w:r>
              <w:rPr>
                <w:rFonts w:hint="eastAsia" w:cs="宋体"/>
                <w:sz w:val="24"/>
              </w:rPr>
              <w:t>6</w:t>
            </w:r>
            <w:r>
              <w:rPr>
                <w:rFonts w:cs="宋体"/>
                <w:sz w:val="24"/>
              </w:rPr>
              <w:t>分。</w:t>
            </w:r>
          </w:p>
          <w:p>
            <w:pPr>
              <w:pStyle w:val="2"/>
              <w:ind w:left="0" w:firstLine="0" w:firstLineChars="0"/>
              <w:rPr>
                <w:rFonts w:cs="宋体"/>
                <w:sz w:val="24"/>
              </w:rPr>
            </w:pPr>
            <w:r>
              <w:rPr>
                <w:rFonts w:hint="eastAsia" w:cs="宋体"/>
                <w:sz w:val="24"/>
              </w:rPr>
              <w:t>（2）根据比选人在比选文件中提供的相关资料综合评价，评审时主要从在宿州市开展招标代理项目的数量、企业综合资质、企业人员数量、拟配备人员素质等综合打分，综合实力优秀的得满分，</w:t>
            </w:r>
            <w:r>
              <w:rPr>
                <w:rFonts w:hint="eastAsia" w:cs="宋体"/>
                <w:sz w:val="24"/>
                <w:lang w:eastAsia="zh-CN"/>
              </w:rPr>
              <w:t>优秀</w:t>
            </w:r>
            <w:r>
              <w:rPr>
                <w:rFonts w:hint="eastAsia" w:cs="宋体"/>
                <w:sz w:val="24"/>
                <w:lang w:val="en-US" w:eastAsia="zh-CN"/>
              </w:rPr>
              <w:t>21-30分，</w:t>
            </w:r>
            <w:r>
              <w:rPr>
                <w:rFonts w:hint="eastAsia" w:cs="宋体"/>
                <w:sz w:val="24"/>
              </w:rPr>
              <w:t>良好1</w:t>
            </w:r>
            <w:r>
              <w:rPr>
                <w:rFonts w:hint="eastAsia" w:cs="宋体"/>
                <w:sz w:val="24"/>
                <w:lang w:val="en-US" w:eastAsia="zh-CN"/>
              </w:rPr>
              <w:t>1</w:t>
            </w:r>
            <w:r>
              <w:rPr>
                <w:rFonts w:hint="eastAsia" w:cs="宋体"/>
                <w:sz w:val="24"/>
              </w:rPr>
              <w:t>-</w:t>
            </w:r>
            <w:r>
              <w:rPr>
                <w:rFonts w:hint="eastAsia" w:cs="宋体"/>
                <w:sz w:val="24"/>
                <w:lang w:val="en-US" w:eastAsia="zh-CN"/>
              </w:rPr>
              <w:t>20</w:t>
            </w:r>
            <w:r>
              <w:rPr>
                <w:rFonts w:hint="eastAsia" w:cs="宋体"/>
                <w:sz w:val="24"/>
              </w:rPr>
              <w:t>分，一般1-</w:t>
            </w:r>
            <w:r>
              <w:rPr>
                <w:rFonts w:hint="eastAsia" w:cs="宋体"/>
                <w:sz w:val="24"/>
                <w:lang w:val="en-US" w:eastAsia="zh-CN"/>
              </w:rPr>
              <w:t>10</w:t>
            </w:r>
            <w:r>
              <w:rPr>
                <w:rFonts w:hint="eastAsia" w:cs="宋体"/>
                <w:sz w:val="24"/>
              </w:rPr>
              <w:t>分，本项满分30分。</w:t>
            </w:r>
            <w:bookmarkStart w:id="7" w:name="_GoBack"/>
            <w:bookmarkEnd w:id="7"/>
          </w:p>
        </w:tc>
      </w:tr>
    </w:tbl>
    <w:p>
      <w:pPr>
        <w:spacing w:line="360" w:lineRule="auto"/>
        <w:rPr>
          <w:b/>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825C4"/>
    <w:rsid w:val="00005FDC"/>
    <w:rsid w:val="00103F5E"/>
    <w:rsid w:val="00147402"/>
    <w:rsid w:val="001C01BD"/>
    <w:rsid w:val="001E4631"/>
    <w:rsid w:val="002228C4"/>
    <w:rsid w:val="002D011F"/>
    <w:rsid w:val="002D423A"/>
    <w:rsid w:val="00492263"/>
    <w:rsid w:val="00517A4E"/>
    <w:rsid w:val="0062191C"/>
    <w:rsid w:val="00662E64"/>
    <w:rsid w:val="006729B4"/>
    <w:rsid w:val="006D7DF7"/>
    <w:rsid w:val="008B59DB"/>
    <w:rsid w:val="009373B2"/>
    <w:rsid w:val="009611B0"/>
    <w:rsid w:val="00A15552"/>
    <w:rsid w:val="00A6052B"/>
    <w:rsid w:val="00AD0EFF"/>
    <w:rsid w:val="00AD5434"/>
    <w:rsid w:val="00B21837"/>
    <w:rsid w:val="00CB2328"/>
    <w:rsid w:val="00CE5185"/>
    <w:rsid w:val="00E02398"/>
    <w:rsid w:val="00E91DFF"/>
    <w:rsid w:val="040E41D4"/>
    <w:rsid w:val="09F91927"/>
    <w:rsid w:val="10A05903"/>
    <w:rsid w:val="11C076DD"/>
    <w:rsid w:val="13426C3F"/>
    <w:rsid w:val="136700FC"/>
    <w:rsid w:val="14B1503A"/>
    <w:rsid w:val="22D96383"/>
    <w:rsid w:val="256A06AE"/>
    <w:rsid w:val="271F42D4"/>
    <w:rsid w:val="29A45ED3"/>
    <w:rsid w:val="2A2209B6"/>
    <w:rsid w:val="2B6D7294"/>
    <w:rsid w:val="2F5825C4"/>
    <w:rsid w:val="34767EA6"/>
    <w:rsid w:val="38D34C5D"/>
    <w:rsid w:val="3D593994"/>
    <w:rsid w:val="3D746816"/>
    <w:rsid w:val="43634140"/>
    <w:rsid w:val="4A08042F"/>
    <w:rsid w:val="4C0B37E6"/>
    <w:rsid w:val="4F0B7431"/>
    <w:rsid w:val="50226F6E"/>
    <w:rsid w:val="55874C6D"/>
    <w:rsid w:val="5C4C3552"/>
    <w:rsid w:val="5FD475D1"/>
    <w:rsid w:val="66EB4866"/>
    <w:rsid w:val="69693E13"/>
    <w:rsid w:val="70A17950"/>
    <w:rsid w:val="75A4303C"/>
    <w:rsid w:val="77A64DE0"/>
    <w:rsid w:val="7A6E2F65"/>
    <w:rsid w:val="7AB9286A"/>
    <w:rsid w:val="7BDB497E"/>
    <w:rsid w:val="7D45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6">
    <w:name w:val="heading 2"/>
    <w:basedOn w:val="1"/>
    <w:next w:val="1"/>
    <w:qFormat/>
    <w:uiPriority w:val="0"/>
    <w:pPr>
      <w:keepNext/>
      <w:ind w:firstLine="241" w:firstLineChars="100"/>
      <w:outlineLvl w:val="1"/>
    </w:pPr>
    <w:rPr>
      <w:b/>
      <w:bCs/>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13">
    <w:name w:val="页眉 字符"/>
    <w:basedOn w:val="10"/>
    <w:link w:val="8"/>
    <w:qFormat/>
    <w:uiPriority w:val="0"/>
    <w:rPr>
      <w:rFonts w:ascii="宋体" w:hAnsi="宋体"/>
      <w:kern w:val="2"/>
      <w:sz w:val="18"/>
      <w:szCs w:val="18"/>
    </w:rPr>
  </w:style>
  <w:style w:type="character" w:customStyle="1" w:styleId="14">
    <w:name w:val="页脚 字符"/>
    <w:basedOn w:val="10"/>
    <w:link w:val="7"/>
    <w:qFormat/>
    <w:uiPriority w:val="0"/>
    <w:rPr>
      <w:rFonts w:ascii="宋体" w:hAnsi="宋体"/>
      <w:kern w:val="2"/>
      <w:sz w:val="18"/>
      <w:szCs w:val="18"/>
    </w:rPr>
  </w:style>
  <w:style w:type="character" w:customStyle="1" w:styleId="15">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260</Words>
  <Characters>1488</Characters>
  <Lines>12</Lines>
  <Paragraphs>3</Paragraphs>
  <TotalTime>2</TotalTime>
  <ScaleCrop>false</ScaleCrop>
  <LinksUpToDate>false</LinksUpToDate>
  <CharactersWithSpaces>1745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2020-07-27T01:49:00Z</dcterms:created>
  <dc:creator>开开妈</dc:creator>
  <cp:lastModifiedBy>Andy</cp:lastModifiedBy>
  <dcterms:modified xsi:type="dcterms:W3CDTF">2020-08-14T00:16:47Z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