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widowControl/>
        <w:suppressLineNumbers w:val="0"/>
        <w:spacing w:before="0" w:beforeAutospacing="1" w:after="0" w:afterAutospacing="1"/>
        <w:ind w:left="0" w:right="0" w:firstLine="0"/>
        <w:rPr>
          <w:rFonts w:hint="eastAsia" w:ascii="仿宋_GB2312" w:hAnsi="仿宋_GB2312" w:eastAsia="仿宋_GB2312" w:cs="仿宋_GB2312"/>
          <w:i w:val="0"/>
          <w:iCs w:val="0"/>
          <w:caps w:val="0"/>
          <w:color w:val="000000"/>
          <w:spacing w:val="0"/>
          <w:sz w:val="32"/>
          <w:szCs w:val="32"/>
        </w:rPr>
      </w:pPr>
    </w:p>
    <w:p>
      <w:pPr>
        <w:pStyle w:val="8"/>
        <w:keepNext w:val="0"/>
        <w:keepLines w:val="0"/>
        <w:widowControl/>
        <w:suppressLineNumbers w:val="0"/>
        <w:spacing w:before="0" w:beforeAutospacing="1" w:after="0" w:afterAutospacing="1"/>
        <w:ind w:left="0" w:right="0" w:firstLine="0"/>
        <w:rPr>
          <w:rFonts w:hint="eastAsia" w:ascii="仿宋_GB2312" w:hAnsi="仿宋_GB2312" w:eastAsia="仿宋_GB2312" w:cs="仿宋_GB2312"/>
          <w:i w:val="0"/>
          <w:iCs w:val="0"/>
          <w:caps w:val="0"/>
          <w:color w:val="000000"/>
          <w:spacing w:val="0"/>
          <w:sz w:val="32"/>
          <w:szCs w:val="32"/>
        </w:rPr>
      </w:pPr>
    </w:p>
    <w:p>
      <w:pPr>
        <w:jc w:val="center"/>
        <w:rPr>
          <w:rFonts w:hint="eastAsia" w:ascii="仿宋_GB2312" w:hAnsi="仿宋_GB2312" w:eastAsia="仿宋_GB2312" w:cs="仿宋_GB2312"/>
          <w:b/>
          <w:bCs w:val="0"/>
          <w:kern w:val="0"/>
          <w:sz w:val="44"/>
          <w:szCs w:val="44"/>
          <w:lang w:val="zh-CN"/>
        </w:rPr>
      </w:pPr>
    </w:p>
    <w:p>
      <w:pPr>
        <w:jc w:val="center"/>
        <w:rPr>
          <w:rFonts w:hint="eastAsia" w:ascii="仿宋_GB2312" w:hAnsi="仿宋_GB2312" w:eastAsia="仿宋_GB2312" w:cs="仿宋_GB2312"/>
          <w:b/>
          <w:bCs w:val="0"/>
          <w:kern w:val="0"/>
          <w:sz w:val="44"/>
          <w:szCs w:val="44"/>
          <w:lang w:val="zh-CN"/>
        </w:rPr>
      </w:pPr>
    </w:p>
    <w:p>
      <w:pPr>
        <w:jc w:val="center"/>
        <w:rPr>
          <w:rFonts w:hint="eastAsia" w:ascii="仿宋_GB2312" w:hAnsi="仿宋_GB2312" w:eastAsia="仿宋_GB2312" w:cs="仿宋_GB2312"/>
          <w:b/>
          <w:bCs w:val="0"/>
          <w:kern w:val="0"/>
          <w:sz w:val="44"/>
          <w:szCs w:val="44"/>
          <w:lang w:val="zh-CN"/>
        </w:rPr>
      </w:pPr>
      <w:r>
        <w:rPr>
          <w:rFonts w:hint="eastAsia" w:ascii="仿宋_GB2312" w:hAnsi="仿宋_GB2312" w:eastAsia="仿宋_GB2312" w:cs="仿宋_GB2312"/>
          <w:b/>
          <w:bCs w:val="0"/>
          <w:kern w:val="0"/>
          <w:sz w:val="44"/>
          <w:szCs w:val="44"/>
          <w:u w:val="none"/>
          <w:lang w:val="en-US" w:eastAsia="zh-CN"/>
        </w:rPr>
        <w:t>中共萧县县委党校新校区(安徽省党员干部党史教育基地)一期10kV配电工程电缆采购</w:t>
      </w:r>
      <w:r>
        <w:rPr>
          <w:rFonts w:hint="eastAsia" w:ascii="仿宋_GB2312" w:hAnsi="仿宋_GB2312" w:eastAsia="仿宋_GB2312" w:cs="仿宋_GB2312"/>
          <w:b/>
          <w:bCs w:val="0"/>
          <w:kern w:val="0"/>
          <w:sz w:val="44"/>
          <w:szCs w:val="44"/>
          <w:lang w:val="zh-CN"/>
        </w:rPr>
        <w:t>合同</w:t>
      </w:r>
    </w:p>
    <w:p>
      <w:pPr>
        <w:spacing w:line="360" w:lineRule="auto"/>
        <w:jc w:val="both"/>
        <w:rPr>
          <w:rFonts w:hint="eastAsia" w:ascii="宋体" w:hAnsi="宋体"/>
          <w:b/>
          <w:bCs/>
          <w:sz w:val="32"/>
          <w:szCs w:val="32"/>
        </w:rPr>
      </w:pPr>
    </w:p>
    <w:p>
      <w:pPr>
        <w:spacing w:line="360" w:lineRule="auto"/>
        <w:ind w:firstLine="1897" w:firstLineChars="900"/>
        <w:jc w:val="both"/>
        <w:rPr>
          <w:rFonts w:hint="eastAsia" w:ascii="宋体" w:hAnsi="宋体" w:eastAsia="宋体"/>
          <w:b/>
          <w:bCs/>
          <w:lang w:eastAsia="zh-CN"/>
        </w:rPr>
      </w:pPr>
    </w:p>
    <w:p>
      <w:pPr>
        <w:spacing w:line="360" w:lineRule="auto"/>
        <w:jc w:val="both"/>
        <w:rPr>
          <w:rFonts w:hint="eastAsia" w:ascii="宋体" w:hAnsi="宋体"/>
          <w:b/>
          <w:bCs/>
        </w:rPr>
      </w:pPr>
    </w:p>
    <w:p>
      <w:pPr>
        <w:spacing w:line="360" w:lineRule="auto"/>
        <w:jc w:val="both"/>
        <w:rPr>
          <w:rFonts w:hint="eastAsia" w:ascii="宋体" w:hAnsi="宋体"/>
          <w:b/>
          <w:bCs/>
        </w:rPr>
      </w:pPr>
    </w:p>
    <w:p>
      <w:pPr>
        <w:spacing w:line="360" w:lineRule="auto"/>
        <w:jc w:val="both"/>
        <w:rPr>
          <w:rFonts w:hint="eastAsia" w:ascii="宋体" w:hAnsi="宋体"/>
          <w:b/>
          <w:bCs/>
        </w:rPr>
      </w:pPr>
    </w:p>
    <w:p>
      <w:pPr>
        <w:spacing w:line="360" w:lineRule="auto"/>
        <w:jc w:val="both"/>
        <w:rPr>
          <w:rFonts w:hint="eastAsia" w:ascii="宋体" w:hAnsi="宋体"/>
          <w:b/>
          <w:bCs/>
        </w:rPr>
      </w:pPr>
    </w:p>
    <w:p>
      <w:pPr>
        <w:spacing w:line="360" w:lineRule="auto"/>
        <w:jc w:val="both"/>
        <w:rPr>
          <w:rFonts w:hint="eastAsia" w:ascii="宋体" w:hAnsi="宋体"/>
          <w:b/>
          <w:bCs/>
        </w:rPr>
      </w:pPr>
    </w:p>
    <w:p>
      <w:pPr>
        <w:jc w:val="both"/>
        <w:rPr>
          <w:rFonts w:hint="eastAsia" w:ascii="仿宋_GB2312" w:hAnsi="仿宋_GB2312" w:eastAsia="仿宋_GB2312" w:cs="仿宋_GB2312"/>
          <w:b/>
          <w:bCs w:val="0"/>
          <w:kern w:val="0"/>
          <w:sz w:val="32"/>
          <w:szCs w:val="32"/>
          <w:lang w:val="zh-CN"/>
        </w:rPr>
      </w:pPr>
      <w:bookmarkStart w:id="0" w:name="_Toc306782698"/>
      <w:bookmarkEnd w:id="0"/>
    </w:p>
    <w:p>
      <w:pPr>
        <w:jc w:val="both"/>
        <w:rPr>
          <w:rFonts w:hint="eastAsia" w:ascii="仿宋_GB2312" w:hAnsi="仿宋_GB2312" w:eastAsia="仿宋_GB2312" w:cs="仿宋_GB2312"/>
          <w:b/>
          <w:bCs w:val="0"/>
          <w:kern w:val="0"/>
          <w:sz w:val="32"/>
          <w:szCs w:val="32"/>
          <w:lang w:val="zh-CN"/>
        </w:rPr>
      </w:pPr>
    </w:p>
    <w:p>
      <w:pPr>
        <w:jc w:val="both"/>
        <w:rPr>
          <w:rFonts w:hint="eastAsia" w:ascii="仿宋_GB2312" w:hAnsi="仿宋_GB2312" w:eastAsia="仿宋_GB2312" w:cs="仿宋_GB2312"/>
          <w:b/>
          <w:bCs w:val="0"/>
          <w:kern w:val="0"/>
          <w:sz w:val="32"/>
          <w:szCs w:val="32"/>
          <w:lang w:val="zh-CN"/>
        </w:rPr>
      </w:pPr>
    </w:p>
    <w:p>
      <w:pPr>
        <w:jc w:val="both"/>
        <w:rPr>
          <w:rFonts w:hint="eastAsia" w:ascii="仿宋_GB2312" w:hAnsi="仿宋_GB2312" w:eastAsia="仿宋_GB2312" w:cs="仿宋_GB2312"/>
          <w:b/>
          <w:bCs w:val="0"/>
          <w:kern w:val="0"/>
          <w:sz w:val="32"/>
          <w:szCs w:val="32"/>
          <w:lang w:val="zh-CN"/>
        </w:rPr>
      </w:pPr>
    </w:p>
    <w:p>
      <w:pPr>
        <w:jc w:val="both"/>
        <w:rPr>
          <w:rFonts w:hint="eastAsia" w:ascii="仿宋_GB2312" w:hAnsi="仿宋_GB2312" w:eastAsia="仿宋_GB2312" w:cs="仿宋_GB2312"/>
          <w:b/>
          <w:bCs w:val="0"/>
          <w:kern w:val="0"/>
          <w:sz w:val="32"/>
          <w:szCs w:val="32"/>
          <w:lang w:val="zh-CN"/>
        </w:rPr>
      </w:pPr>
    </w:p>
    <w:p>
      <w:pPr>
        <w:ind w:firstLine="1606" w:firstLineChars="500"/>
        <w:jc w:val="both"/>
        <w:rPr>
          <w:rFonts w:hint="eastAsia" w:ascii="仿宋_GB2312" w:hAnsi="仿宋_GB2312" w:eastAsia="仿宋_GB2312" w:cs="仿宋_GB2312"/>
          <w:b/>
          <w:bCs w:val="0"/>
          <w:kern w:val="0"/>
          <w:sz w:val="32"/>
          <w:szCs w:val="32"/>
          <w:u w:val="none"/>
          <w:lang w:val="en-US" w:eastAsia="zh-CN"/>
        </w:rPr>
      </w:pPr>
      <w:r>
        <w:rPr>
          <w:rFonts w:hint="eastAsia" w:ascii="仿宋_GB2312" w:hAnsi="仿宋_GB2312" w:eastAsia="仿宋_GB2312" w:cs="仿宋_GB2312"/>
          <w:b/>
          <w:bCs w:val="0"/>
          <w:kern w:val="0"/>
          <w:sz w:val="32"/>
          <w:szCs w:val="32"/>
          <w:lang w:val="en-US" w:eastAsia="zh-CN"/>
        </w:rPr>
        <w:t>甲方:</w:t>
      </w:r>
      <w:r>
        <w:rPr>
          <w:rFonts w:hint="eastAsia" w:ascii="仿宋_GB2312" w:hAnsi="仿宋_GB2312" w:eastAsia="仿宋_GB2312" w:cs="仿宋_GB2312"/>
          <w:b/>
          <w:bCs w:val="0"/>
          <w:kern w:val="0"/>
          <w:sz w:val="32"/>
          <w:szCs w:val="32"/>
          <w:u w:val="single"/>
          <w:lang w:val="en-US" w:eastAsia="zh-CN"/>
        </w:rPr>
        <w:t xml:space="preserve"> 萧县东升建设有限公司 </w:t>
      </w:r>
      <w:r>
        <w:rPr>
          <w:rFonts w:hint="eastAsia" w:ascii="仿宋_GB2312" w:hAnsi="仿宋_GB2312" w:eastAsia="仿宋_GB2312" w:cs="仿宋_GB2312"/>
          <w:b/>
          <w:bCs w:val="0"/>
          <w:kern w:val="0"/>
          <w:sz w:val="32"/>
          <w:szCs w:val="32"/>
          <w:u w:val="none"/>
          <w:lang w:val="en-US" w:eastAsia="zh-CN"/>
        </w:rPr>
        <w:t xml:space="preserve">                 </w:t>
      </w:r>
      <w:bookmarkStart w:id="1" w:name="_Toc306782699"/>
      <w:bookmarkEnd w:id="1"/>
    </w:p>
    <w:p>
      <w:pPr>
        <w:ind w:firstLine="1606" w:firstLineChars="500"/>
        <w:jc w:val="both"/>
        <w:rPr>
          <w:rFonts w:hint="eastAsia" w:ascii="仿宋_GB2312" w:hAnsi="仿宋_GB2312" w:eastAsia="仿宋_GB2312" w:cs="仿宋_GB2312"/>
          <w:b/>
          <w:bCs w:val="0"/>
          <w:kern w:val="0"/>
          <w:sz w:val="32"/>
          <w:szCs w:val="32"/>
          <w:u w:val="single"/>
          <w:lang w:val="zh-CN" w:eastAsia="zh-CN"/>
        </w:rPr>
      </w:pPr>
      <w:r>
        <w:rPr>
          <w:rFonts w:hint="eastAsia" w:ascii="仿宋_GB2312" w:hAnsi="仿宋_GB2312" w:eastAsia="仿宋_GB2312" w:cs="仿宋_GB2312"/>
          <w:b/>
          <w:bCs w:val="0"/>
          <w:kern w:val="0"/>
          <w:sz w:val="32"/>
          <w:szCs w:val="32"/>
          <w:lang w:val="en-US" w:eastAsia="zh-CN"/>
        </w:rPr>
        <w:t>乙方:</w:t>
      </w:r>
      <w:r>
        <w:rPr>
          <w:rFonts w:hint="eastAsia" w:ascii="仿宋_GB2312" w:hAnsi="仿宋_GB2312" w:eastAsia="仿宋_GB2312" w:cs="仿宋_GB2312"/>
          <w:b/>
          <w:bCs w:val="0"/>
          <w:kern w:val="0"/>
          <w:sz w:val="32"/>
          <w:szCs w:val="32"/>
          <w:u w:val="single"/>
          <w:lang w:val="en-US" w:eastAsia="zh-CN"/>
        </w:rPr>
        <w:t xml:space="preserve"> __________________ </w:t>
      </w:r>
    </w:p>
    <w:p>
      <w:pPr>
        <w:ind w:firstLine="1606" w:firstLineChars="500"/>
        <w:jc w:val="both"/>
        <w:rPr>
          <w:rFonts w:hint="eastAsia" w:ascii="仿宋_GB2312" w:hAnsi="仿宋_GB2312" w:eastAsia="仿宋_GB2312" w:cs="仿宋_GB2312"/>
          <w:b/>
          <w:bCs w:val="0"/>
          <w:kern w:val="0"/>
          <w:sz w:val="32"/>
          <w:szCs w:val="32"/>
          <w:lang w:val="zh-CN"/>
        </w:rPr>
      </w:pPr>
      <w:bookmarkStart w:id="2" w:name="_Toc306782700"/>
      <w:bookmarkEnd w:id="2"/>
      <w:r>
        <w:rPr>
          <w:rFonts w:hint="eastAsia" w:ascii="仿宋_GB2312" w:hAnsi="仿宋_GB2312" w:eastAsia="仿宋_GB2312" w:cs="仿宋_GB2312"/>
          <w:b/>
          <w:bCs w:val="0"/>
          <w:kern w:val="0"/>
          <w:sz w:val="32"/>
          <w:szCs w:val="32"/>
          <w:lang w:val="zh-CN"/>
        </w:rPr>
        <w:t>签约地点</w:t>
      </w:r>
      <w:r>
        <w:rPr>
          <w:rFonts w:hint="eastAsia" w:ascii="仿宋_GB2312" w:hAnsi="仿宋_GB2312" w:eastAsia="仿宋_GB2312" w:cs="仿宋_GB2312"/>
          <w:b/>
          <w:bCs w:val="0"/>
          <w:kern w:val="0"/>
          <w:sz w:val="32"/>
          <w:szCs w:val="32"/>
          <w:u w:val="none"/>
          <w:lang w:val="zh-CN"/>
        </w:rPr>
        <w:t>：</w:t>
      </w:r>
      <w:r>
        <w:rPr>
          <w:rFonts w:hint="eastAsia" w:ascii="仿宋_GB2312" w:hAnsi="仿宋_GB2312" w:eastAsia="仿宋_GB2312" w:cs="仿宋_GB2312"/>
          <w:b/>
          <w:bCs w:val="0"/>
          <w:kern w:val="0"/>
          <w:sz w:val="32"/>
          <w:szCs w:val="32"/>
          <w:u w:val="single"/>
          <w:lang w:val="en-US" w:eastAsia="zh-CN"/>
        </w:rPr>
        <w:t xml:space="preserve">    萧县       </w:t>
      </w:r>
      <w:r>
        <w:rPr>
          <w:rFonts w:hint="eastAsia" w:ascii="仿宋_GB2312" w:hAnsi="仿宋_GB2312" w:eastAsia="仿宋_GB2312" w:cs="仿宋_GB2312"/>
          <w:b/>
          <w:bCs w:val="0"/>
          <w:kern w:val="0"/>
          <w:sz w:val="32"/>
          <w:szCs w:val="32"/>
          <w:lang w:val="zh-CN"/>
        </w:rPr>
        <w:t xml:space="preserve">                </w:t>
      </w:r>
    </w:p>
    <w:p>
      <w:pPr>
        <w:ind w:firstLine="1606" w:firstLineChars="500"/>
        <w:jc w:val="both"/>
        <w:rPr>
          <w:rFonts w:hint="eastAsia" w:ascii="仿宋_GB2312" w:hAnsi="仿宋_GB2312" w:eastAsia="仿宋_GB2312" w:cs="仿宋_GB2312"/>
          <w:b/>
          <w:bCs w:val="0"/>
          <w:kern w:val="0"/>
          <w:sz w:val="32"/>
          <w:szCs w:val="32"/>
          <w:lang w:val="zh-CN"/>
        </w:rPr>
      </w:pPr>
      <w:r>
        <w:rPr>
          <w:rFonts w:hint="eastAsia" w:ascii="仿宋_GB2312" w:hAnsi="仿宋_GB2312" w:eastAsia="仿宋_GB2312" w:cs="仿宋_GB2312"/>
          <w:b/>
          <w:bCs w:val="0"/>
          <w:kern w:val="0"/>
          <w:sz w:val="32"/>
          <w:szCs w:val="32"/>
          <w:lang w:val="zh-CN"/>
        </w:rPr>
        <w:t>签约时间：</w:t>
      </w:r>
      <w:r>
        <w:rPr>
          <w:rFonts w:hint="eastAsia" w:ascii="仿宋_GB2312" w:hAnsi="仿宋_GB2312" w:eastAsia="仿宋_GB2312" w:cs="仿宋_GB2312"/>
          <w:b/>
          <w:bCs w:val="0"/>
          <w:kern w:val="0"/>
          <w:sz w:val="32"/>
          <w:szCs w:val="32"/>
          <w:u w:val="single"/>
          <w:lang w:val="en-US" w:eastAsia="zh-CN"/>
        </w:rPr>
        <w:t xml:space="preserve">    </w:t>
      </w:r>
      <w:r>
        <w:rPr>
          <w:rFonts w:hint="eastAsia" w:ascii="仿宋_GB2312" w:hAnsi="仿宋_GB2312" w:eastAsia="仿宋_GB2312" w:cs="仿宋_GB2312"/>
          <w:b/>
          <w:bCs w:val="0"/>
          <w:kern w:val="0"/>
          <w:sz w:val="32"/>
          <w:szCs w:val="32"/>
          <w:lang w:val="en-US" w:eastAsia="zh-CN"/>
        </w:rPr>
        <w:t>年</w:t>
      </w:r>
      <w:r>
        <w:rPr>
          <w:rFonts w:hint="eastAsia" w:ascii="仿宋_GB2312" w:hAnsi="仿宋_GB2312" w:eastAsia="仿宋_GB2312" w:cs="仿宋_GB2312"/>
          <w:b/>
          <w:bCs w:val="0"/>
          <w:kern w:val="0"/>
          <w:sz w:val="32"/>
          <w:szCs w:val="32"/>
          <w:u w:val="single"/>
          <w:lang w:val="en-US" w:eastAsia="zh-CN"/>
        </w:rPr>
        <w:t xml:space="preserve">    </w:t>
      </w:r>
      <w:r>
        <w:rPr>
          <w:rFonts w:hint="eastAsia" w:ascii="仿宋_GB2312" w:hAnsi="仿宋_GB2312" w:eastAsia="仿宋_GB2312" w:cs="仿宋_GB2312"/>
          <w:b/>
          <w:bCs w:val="0"/>
          <w:kern w:val="0"/>
          <w:sz w:val="32"/>
          <w:szCs w:val="32"/>
          <w:lang w:val="en-US" w:eastAsia="zh-CN"/>
        </w:rPr>
        <w:t>月</w:t>
      </w:r>
      <w:r>
        <w:rPr>
          <w:rFonts w:hint="eastAsia" w:ascii="仿宋_GB2312" w:hAnsi="仿宋_GB2312" w:eastAsia="仿宋_GB2312" w:cs="仿宋_GB2312"/>
          <w:b/>
          <w:bCs w:val="0"/>
          <w:kern w:val="0"/>
          <w:sz w:val="32"/>
          <w:szCs w:val="32"/>
          <w:u w:val="single"/>
          <w:lang w:val="en-US" w:eastAsia="zh-CN"/>
        </w:rPr>
        <w:t xml:space="preserve">     </w:t>
      </w:r>
      <w:r>
        <w:rPr>
          <w:rFonts w:hint="eastAsia" w:ascii="仿宋_GB2312" w:hAnsi="仿宋_GB2312" w:eastAsia="仿宋_GB2312" w:cs="仿宋_GB2312"/>
          <w:b/>
          <w:bCs w:val="0"/>
          <w:kern w:val="0"/>
          <w:sz w:val="32"/>
          <w:szCs w:val="32"/>
          <w:lang w:val="en-US" w:eastAsia="zh-CN"/>
        </w:rPr>
        <w:t>日</w:t>
      </w:r>
      <w:r>
        <w:rPr>
          <w:rFonts w:hint="eastAsia" w:ascii="仿宋_GB2312" w:hAnsi="仿宋_GB2312" w:eastAsia="仿宋_GB2312" w:cs="仿宋_GB2312"/>
          <w:b/>
          <w:bCs w:val="0"/>
          <w:kern w:val="0"/>
          <w:sz w:val="32"/>
          <w:szCs w:val="32"/>
          <w:lang w:val="zh-CN"/>
        </w:rPr>
        <w:t xml:space="preserve">                            </w:t>
      </w:r>
    </w:p>
    <w:p>
      <w:pPr>
        <w:spacing w:line="360" w:lineRule="auto"/>
        <w:rPr>
          <w:rFonts w:hint="eastAsia" w:ascii="宋体" w:hAnsi="宋体"/>
          <w:b/>
          <w:bCs/>
          <w:sz w:val="32"/>
          <w:szCs w:val="32"/>
        </w:rPr>
      </w:pPr>
      <w:bookmarkStart w:id="3" w:name="_Toc306782701"/>
      <w:bookmarkEnd w:id="3"/>
    </w:p>
    <w:p>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仿宋_GB2312" w:hAnsi="仿宋_GB2312" w:eastAsia="仿宋_GB2312" w:cs="仿宋_GB2312"/>
          <w:sz w:val="32"/>
          <w:szCs w:val="32"/>
          <w:u w:val="single"/>
        </w:rPr>
      </w:pPr>
      <w:r>
        <w:rPr>
          <w:rFonts w:hint="eastAsia" w:ascii="宋体" w:hAnsi="宋体"/>
          <w:b/>
          <w:bCs/>
        </w:rPr>
        <w:br w:type="page"/>
      </w:r>
      <w:r>
        <w:rPr>
          <w:rFonts w:hint="eastAsia" w:ascii="宋体" w:hAnsi="宋体"/>
          <w:b/>
          <w:bCs/>
          <w:lang w:val="en-US" w:eastAsia="zh-CN"/>
        </w:rPr>
        <w:t xml:space="preserve">     </w:t>
      </w:r>
      <w:r>
        <w:rPr>
          <w:rFonts w:hint="eastAsia" w:ascii="仿宋_GB2312" w:hAnsi="仿宋_GB2312" w:eastAsia="仿宋_GB2312" w:cs="仿宋_GB2312"/>
          <w:sz w:val="32"/>
          <w:szCs w:val="32"/>
          <w:lang w:val="en-US" w:eastAsia="zh-CN"/>
        </w:rPr>
        <w:t>甲方</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lang w:val="en-US" w:eastAsia="zh-CN"/>
        </w:rPr>
        <w:t xml:space="preserve"> 萧县东升建设有限公司 </w:t>
      </w:r>
      <w:r>
        <w:rPr>
          <w:rFonts w:hint="eastAsia" w:ascii="仿宋_GB2312" w:hAnsi="仿宋_GB2312" w:eastAsia="仿宋_GB2312" w:cs="仿宋_GB2312"/>
          <w:sz w:val="32"/>
          <w:szCs w:val="32"/>
          <w:u w:val="single"/>
        </w:rPr>
        <w:t xml:space="preserve"> </w:t>
      </w:r>
    </w:p>
    <w:p>
      <w:pPr>
        <w:keepNext w:val="0"/>
        <w:keepLines w:val="0"/>
        <w:pageBreakBefore w:val="0"/>
        <w:kinsoku/>
        <w:wordWrap/>
        <w:overflowPunct/>
        <w:topLinePunct w:val="0"/>
        <w:autoSpaceDE/>
        <w:autoSpaceDN/>
        <w:bidi w:val="0"/>
        <w:adjustRightInd/>
        <w:snapToGrid/>
        <w:spacing w:beforeAutospacing="0" w:afterAutospacing="0" w:line="360" w:lineRule="auto"/>
        <w:ind w:firstLine="640" w:firstLineChars="200"/>
        <w:textAlignment w:val="auto"/>
        <w:rPr>
          <w:rFonts w:hint="eastAsia" w:ascii="仿宋_GB2312" w:hAnsi="仿宋_GB2312" w:eastAsia="仿宋_GB2312" w:cs="仿宋_GB2312"/>
          <w:w w:val="90"/>
          <w:sz w:val="32"/>
          <w:szCs w:val="32"/>
        </w:rPr>
      </w:pPr>
      <w:r>
        <w:rPr>
          <w:rFonts w:hint="eastAsia" w:ascii="仿宋_GB2312" w:hAnsi="仿宋_GB2312" w:eastAsia="仿宋_GB2312" w:cs="仿宋_GB2312"/>
          <w:sz w:val="32"/>
          <w:szCs w:val="32"/>
          <w:lang w:val="en-US" w:eastAsia="zh-CN"/>
        </w:rPr>
        <w:t>乙方</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none"/>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p>
    <w:p>
      <w:pPr>
        <w:pStyle w:val="14"/>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产品名称、规格、数量、</w:t>
      </w:r>
      <w:r>
        <w:rPr>
          <w:rFonts w:hint="eastAsia" w:ascii="仿宋_GB2312" w:hAnsi="仿宋_GB2312" w:eastAsia="仿宋_GB2312" w:cs="仿宋_GB2312"/>
          <w:sz w:val="32"/>
          <w:szCs w:val="32"/>
          <w:lang w:val="en-US" w:eastAsia="zh-CN"/>
        </w:rPr>
        <w:t>单价</w:t>
      </w:r>
      <w:r>
        <w:rPr>
          <w:rFonts w:hint="eastAsia" w:ascii="仿宋_GB2312" w:hAnsi="仿宋_GB2312" w:eastAsia="仿宋_GB2312" w:cs="仿宋_GB2312"/>
          <w:sz w:val="32"/>
          <w:szCs w:val="32"/>
        </w:rPr>
        <w:t>、金额（元）等</w:t>
      </w:r>
    </w:p>
    <w:p>
      <w:pPr>
        <w:pStyle w:val="14"/>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64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详见附件</w:t>
      </w:r>
    </w:p>
    <w:p>
      <w:pPr>
        <w:pStyle w:val="14"/>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640" w:firstLineChars="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备注：以上价格含13%增值税专用发票、含运费、含穿</w:t>
      </w:r>
      <w:bookmarkStart w:id="4" w:name="_GoBack"/>
      <w:bookmarkEnd w:id="4"/>
      <w:r>
        <w:rPr>
          <w:rFonts w:hint="eastAsia" w:ascii="仿宋_GB2312" w:hAnsi="仿宋_GB2312" w:eastAsia="仿宋_GB2312" w:cs="仿宋_GB2312"/>
          <w:sz w:val="32"/>
          <w:szCs w:val="32"/>
          <w:lang w:val="en-US" w:eastAsia="zh-CN"/>
        </w:rPr>
        <w:t>线施工及相关安装工作，包验收。</w:t>
      </w:r>
    </w:p>
    <w:p>
      <w:pPr>
        <w:pStyle w:val="14"/>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合计总价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大写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u w:val="single"/>
          <w:lang w:val="en-US" w:eastAsia="zh-CN"/>
        </w:rPr>
        <w:t xml:space="preserve">         整 </w:t>
      </w:r>
      <w:r>
        <w:rPr>
          <w:rFonts w:hint="eastAsia" w:ascii="仿宋_GB2312" w:hAnsi="仿宋_GB2312" w:eastAsia="仿宋_GB2312" w:cs="仿宋_GB2312"/>
          <w:sz w:val="32"/>
          <w:szCs w:val="32"/>
          <w:lang w:val="en-US" w:eastAsia="zh-CN"/>
        </w:rPr>
        <w:t>小写：</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 xml:space="preserve">元，                      </w:t>
      </w:r>
    </w:p>
    <w:p>
      <w:pPr>
        <w:pStyle w:val="14"/>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 以上产品材料要求</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u w:val="single"/>
          <w:lang w:val="en-US" w:eastAsia="zh-CN"/>
        </w:rPr>
        <w:t xml:space="preserve"> 符合图纸以及国家相关规范标准</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pStyle w:val="14"/>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2.地点:萧县</w:t>
      </w:r>
      <w:r>
        <w:rPr>
          <w:rFonts w:hint="eastAsia" w:ascii="仿宋_GB2312" w:hAnsi="仿宋_GB2312" w:eastAsia="仿宋_GB2312" w:cs="仿宋_GB2312"/>
          <w:sz w:val="32"/>
          <w:szCs w:val="32"/>
          <w:lang w:val="en-US" w:eastAsia="zh-CN"/>
        </w:rPr>
        <w:t>丁里镇。</w:t>
      </w:r>
    </w:p>
    <w:p>
      <w:pPr>
        <w:pStyle w:val="14"/>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sz w:val="32"/>
          <w:szCs w:val="32"/>
          <w:highlight w:val="yellow"/>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工期</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lang w:val="en-US" w:eastAsia="zh-CN"/>
        </w:rPr>
        <w:t>2022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日至</w:t>
      </w:r>
      <w:r>
        <w:rPr>
          <w:rFonts w:hint="eastAsia" w:ascii="仿宋_GB2312" w:hAnsi="仿宋_GB2312" w:eastAsia="仿宋_GB2312" w:cs="仿宋_GB2312"/>
          <w:sz w:val="32"/>
          <w:szCs w:val="32"/>
          <w:u w:val="single"/>
          <w:lang w:val="en-US" w:eastAsia="zh-CN"/>
        </w:rPr>
        <w:t>2022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日。</w:t>
      </w:r>
    </w:p>
    <w:p>
      <w:pPr>
        <w:pStyle w:val="14"/>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 xml:space="preserve">质量技术标准  </w:t>
      </w:r>
    </w:p>
    <w:p>
      <w:pPr>
        <w:pStyle w:val="14"/>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乙方提供的材料及安装标准需符合设计图纸、国家及行业相关规范标准，如达不到该标准，所造成的一切损失由乙方承担。</w:t>
      </w:r>
      <w:r>
        <w:rPr>
          <w:rFonts w:hint="eastAsia" w:ascii="仿宋_GB2312" w:hAnsi="仿宋_GB2312" w:eastAsia="仿宋_GB2312" w:cs="仿宋_GB2312"/>
          <w:sz w:val="32"/>
          <w:szCs w:val="32"/>
        </w:rPr>
        <w:t xml:space="preserve">  </w:t>
      </w:r>
    </w:p>
    <w:p>
      <w:pPr>
        <w:pStyle w:val="14"/>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验收及提出质量异议期限和方式：</w:t>
      </w:r>
    </w:p>
    <w:p>
      <w:pPr>
        <w:pStyle w:val="14"/>
        <w:keepNext w:val="0"/>
        <w:keepLines w:val="0"/>
        <w:pageBreakBefore w:val="0"/>
        <w:kinsoku/>
        <w:wordWrap/>
        <w:overflowPunct/>
        <w:topLinePunct w:val="0"/>
        <w:autoSpaceDE/>
        <w:autoSpaceDN/>
        <w:bidi w:val="0"/>
        <w:adjustRightInd/>
        <w:snapToGrid/>
        <w:spacing w:beforeAutospacing="0" w:afterAutospacing="0" w:line="360" w:lineRule="auto"/>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甲方</w:t>
      </w:r>
      <w:r>
        <w:rPr>
          <w:rFonts w:hint="eastAsia" w:ascii="仿宋_GB2312" w:hAnsi="仿宋_GB2312" w:eastAsia="仿宋_GB2312" w:cs="仿宋_GB2312"/>
          <w:sz w:val="32"/>
          <w:szCs w:val="32"/>
        </w:rPr>
        <w:t>提货时应对货物进行检验，验收由业主指定的检测单位检验合格后由</w:t>
      </w:r>
      <w:r>
        <w:rPr>
          <w:rFonts w:hint="eastAsia" w:ascii="仿宋_GB2312" w:hAnsi="仿宋_GB2312" w:eastAsia="仿宋_GB2312" w:cs="仿宋_GB2312"/>
          <w:sz w:val="32"/>
          <w:szCs w:val="32"/>
          <w:lang w:val="en-US" w:eastAsia="zh-CN"/>
        </w:rPr>
        <w:t>甲方</w:t>
      </w:r>
      <w:r>
        <w:rPr>
          <w:rFonts w:hint="eastAsia" w:ascii="仿宋_GB2312" w:hAnsi="仿宋_GB2312" w:eastAsia="仿宋_GB2312" w:cs="仿宋_GB2312"/>
          <w:sz w:val="32"/>
          <w:szCs w:val="32"/>
        </w:rPr>
        <w:t>授权代理签字或盖章，按实验收。</w:t>
      </w:r>
    </w:p>
    <w:p>
      <w:pPr>
        <w:pStyle w:val="14"/>
        <w:keepNext w:val="0"/>
        <w:keepLines w:val="0"/>
        <w:pageBreakBefore w:val="0"/>
        <w:kinsoku/>
        <w:wordWrap/>
        <w:overflowPunct/>
        <w:topLinePunct w:val="0"/>
        <w:autoSpaceDE/>
        <w:autoSpaceDN/>
        <w:bidi w:val="0"/>
        <w:adjustRightInd/>
        <w:snapToGrid/>
        <w:spacing w:beforeAutospacing="0" w:afterAutospacing="0" w:line="360" w:lineRule="auto"/>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甲方</w:t>
      </w:r>
      <w:r>
        <w:rPr>
          <w:rFonts w:hint="eastAsia" w:ascii="仿宋_GB2312" w:hAnsi="仿宋_GB2312" w:eastAsia="仿宋_GB2312" w:cs="仿宋_GB2312"/>
          <w:sz w:val="32"/>
          <w:szCs w:val="32"/>
        </w:rPr>
        <w:t>提货后如发现有质量问题，应保持产品原状，并在货到七天内以书面方式向</w:t>
      </w:r>
      <w:r>
        <w:rPr>
          <w:rFonts w:hint="eastAsia" w:ascii="仿宋_GB2312" w:hAnsi="仿宋_GB2312" w:eastAsia="仿宋_GB2312" w:cs="仿宋_GB2312"/>
          <w:sz w:val="32"/>
          <w:szCs w:val="32"/>
          <w:lang w:val="en-US" w:eastAsia="zh-CN"/>
        </w:rPr>
        <w:t>乙方</w:t>
      </w:r>
      <w:r>
        <w:rPr>
          <w:rFonts w:hint="eastAsia" w:ascii="仿宋_GB2312" w:hAnsi="仿宋_GB2312" w:eastAsia="仿宋_GB2312" w:cs="仿宋_GB2312"/>
          <w:sz w:val="32"/>
          <w:szCs w:val="32"/>
        </w:rPr>
        <w:t>提出，逾期或未保持原状，作合格处理。如出现不符合国家质量标准要求的情况，</w:t>
      </w:r>
      <w:r>
        <w:rPr>
          <w:rFonts w:hint="eastAsia" w:ascii="仿宋_GB2312" w:hAnsi="仿宋_GB2312" w:eastAsia="仿宋_GB2312" w:cs="仿宋_GB2312"/>
          <w:sz w:val="32"/>
          <w:szCs w:val="32"/>
          <w:lang w:val="en-US" w:eastAsia="zh-CN"/>
        </w:rPr>
        <w:t>甲方</w:t>
      </w:r>
      <w:r>
        <w:rPr>
          <w:rFonts w:hint="eastAsia" w:ascii="仿宋_GB2312" w:hAnsi="仿宋_GB2312" w:eastAsia="仿宋_GB2312" w:cs="仿宋_GB2312"/>
          <w:sz w:val="32"/>
          <w:szCs w:val="32"/>
        </w:rPr>
        <w:t>及时通知</w:t>
      </w:r>
      <w:r>
        <w:rPr>
          <w:rFonts w:hint="eastAsia" w:ascii="仿宋_GB2312" w:hAnsi="仿宋_GB2312" w:eastAsia="仿宋_GB2312" w:cs="仿宋_GB2312"/>
          <w:sz w:val="32"/>
          <w:szCs w:val="32"/>
          <w:lang w:val="en-US" w:eastAsia="zh-CN"/>
        </w:rPr>
        <w:t>乙方</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乙方</w:t>
      </w:r>
      <w:r>
        <w:rPr>
          <w:rFonts w:hint="eastAsia" w:ascii="仿宋_GB2312" w:hAnsi="仿宋_GB2312" w:eastAsia="仿宋_GB2312" w:cs="仿宋_GB2312"/>
          <w:sz w:val="32"/>
          <w:szCs w:val="32"/>
        </w:rPr>
        <w:t>应无条件退换同标准同质量产品，以达到</w:t>
      </w:r>
      <w:r>
        <w:rPr>
          <w:rFonts w:hint="eastAsia" w:ascii="仿宋_GB2312" w:hAnsi="仿宋_GB2312" w:eastAsia="仿宋_GB2312" w:cs="仿宋_GB2312"/>
          <w:sz w:val="32"/>
          <w:szCs w:val="32"/>
          <w:lang w:val="en-US" w:eastAsia="zh-CN"/>
        </w:rPr>
        <w:t>甲方</w:t>
      </w:r>
      <w:r>
        <w:rPr>
          <w:rFonts w:hint="eastAsia" w:ascii="仿宋_GB2312" w:hAnsi="仿宋_GB2312" w:eastAsia="仿宋_GB2312" w:cs="仿宋_GB2312"/>
          <w:sz w:val="32"/>
          <w:szCs w:val="32"/>
        </w:rPr>
        <w:t>正常使用为止，并由</w:t>
      </w:r>
      <w:r>
        <w:rPr>
          <w:rFonts w:hint="eastAsia" w:ascii="仿宋_GB2312" w:hAnsi="仿宋_GB2312" w:eastAsia="仿宋_GB2312" w:cs="仿宋_GB2312"/>
          <w:sz w:val="32"/>
          <w:szCs w:val="32"/>
          <w:lang w:val="en-US" w:eastAsia="zh-CN"/>
        </w:rPr>
        <w:t>乙方</w:t>
      </w:r>
      <w:r>
        <w:rPr>
          <w:rFonts w:hint="eastAsia" w:ascii="仿宋_GB2312" w:hAnsi="仿宋_GB2312" w:eastAsia="仿宋_GB2312" w:cs="仿宋_GB2312"/>
          <w:sz w:val="32"/>
          <w:szCs w:val="32"/>
        </w:rPr>
        <w:t>承担由于材料质量问题造成的一切经济损失。</w:t>
      </w:r>
    </w:p>
    <w:p>
      <w:pPr>
        <w:pStyle w:val="14"/>
        <w:keepNext w:val="0"/>
        <w:keepLines w:val="0"/>
        <w:pageBreakBefore w:val="0"/>
        <w:kinsoku/>
        <w:wordWrap/>
        <w:overflowPunct/>
        <w:topLinePunct w:val="0"/>
        <w:autoSpaceDE/>
        <w:autoSpaceDN/>
        <w:bidi w:val="0"/>
        <w:adjustRightInd/>
        <w:snapToGrid/>
        <w:spacing w:beforeAutospacing="0" w:afterAutospacing="0" w:line="360" w:lineRule="auto"/>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 </w:t>
      </w:r>
      <w:r>
        <w:rPr>
          <w:rFonts w:hint="eastAsia" w:ascii="仿宋_GB2312" w:hAnsi="仿宋_GB2312" w:eastAsia="仿宋_GB2312" w:cs="仿宋_GB2312"/>
          <w:sz w:val="32"/>
          <w:szCs w:val="32"/>
          <w:lang w:val="en-US" w:eastAsia="zh-CN"/>
        </w:rPr>
        <w:t>乙方</w:t>
      </w:r>
      <w:r>
        <w:rPr>
          <w:rFonts w:hint="eastAsia" w:ascii="仿宋_GB2312" w:hAnsi="仿宋_GB2312" w:eastAsia="仿宋_GB2312" w:cs="仿宋_GB2312"/>
          <w:sz w:val="32"/>
          <w:szCs w:val="32"/>
        </w:rPr>
        <w:t>由于产品质量问题造成</w:t>
      </w:r>
      <w:r>
        <w:rPr>
          <w:rFonts w:hint="eastAsia" w:ascii="仿宋_GB2312" w:hAnsi="仿宋_GB2312" w:eastAsia="仿宋_GB2312" w:cs="仿宋_GB2312"/>
          <w:sz w:val="32"/>
          <w:szCs w:val="32"/>
          <w:lang w:val="en-US" w:eastAsia="zh-CN"/>
        </w:rPr>
        <w:t>甲方</w:t>
      </w:r>
      <w:r>
        <w:rPr>
          <w:rFonts w:hint="eastAsia" w:ascii="仿宋_GB2312" w:hAnsi="仿宋_GB2312" w:eastAsia="仿宋_GB2312" w:cs="仿宋_GB2312"/>
          <w:sz w:val="32"/>
          <w:szCs w:val="32"/>
        </w:rPr>
        <w:t>损失的，包括</w:t>
      </w:r>
      <w:r>
        <w:rPr>
          <w:rFonts w:hint="eastAsia" w:ascii="仿宋_GB2312" w:hAnsi="仿宋_GB2312" w:eastAsia="仿宋_GB2312" w:cs="仿宋_GB2312"/>
          <w:sz w:val="32"/>
          <w:szCs w:val="32"/>
          <w:lang w:eastAsia="zh-CN"/>
        </w:rPr>
        <w:t>安装</w:t>
      </w:r>
      <w:r>
        <w:rPr>
          <w:rFonts w:hint="eastAsia" w:ascii="仿宋_GB2312" w:hAnsi="仿宋_GB2312" w:eastAsia="仿宋_GB2312" w:cs="仿宋_GB2312"/>
          <w:sz w:val="32"/>
          <w:szCs w:val="32"/>
        </w:rPr>
        <w:t>、工期拖延等费用，</w:t>
      </w:r>
      <w:r>
        <w:rPr>
          <w:rFonts w:hint="eastAsia" w:ascii="仿宋_GB2312" w:hAnsi="仿宋_GB2312" w:eastAsia="仿宋_GB2312" w:cs="仿宋_GB2312"/>
          <w:sz w:val="32"/>
          <w:szCs w:val="32"/>
          <w:lang w:val="en-US" w:eastAsia="zh-CN"/>
        </w:rPr>
        <w:t>乙方</w:t>
      </w:r>
      <w:r>
        <w:rPr>
          <w:rFonts w:hint="eastAsia" w:ascii="仿宋_GB2312" w:hAnsi="仿宋_GB2312" w:eastAsia="仿宋_GB2312" w:cs="仿宋_GB2312"/>
          <w:sz w:val="32"/>
          <w:szCs w:val="32"/>
        </w:rPr>
        <w:t>承担</w:t>
      </w:r>
      <w:r>
        <w:rPr>
          <w:rFonts w:hint="eastAsia" w:ascii="仿宋_GB2312" w:hAnsi="仿宋_GB2312" w:eastAsia="仿宋_GB2312" w:cs="仿宋_GB2312"/>
          <w:sz w:val="32"/>
          <w:szCs w:val="32"/>
          <w:lang w:val="en-US" w:eastAsia="zh-CN"/>
        </w:rPr>
        <w:t>甲方</w:t>
      </w:r>
      <w:r>
        <w:rPr>
          <w:rFonts w:hint="eastAsia" w:ascii="仿宋_GB2312" w:hAnsi="仿宋_GB2312" w:eastAsia="仿宋_GB2312" w:cs="仿宋_GB2312"/>
          <w:sz w:val="32"/>
          <w:szCs w:val="32"/>
        </w:rPr>
        <w:t>的全部损失费用的3倍赔偿。</w:t>
      </w:r>
    </w:p>
    <w:p>
      <w:pPr>
        <w:pStyle w:val="14"/>
        <w:keepNext w:val="0"/>
        <w:keepLines w:val="0"/>
        <w:pageBreakBefore w:val="0"/>
        <w:kinsoku/>
        <w:wordWrap/>
        <w:overflowPunct/>
        <w:topLinePunct w:val="0"/>
        <w:autoSpaceDE/>
        <w:autoSpaceDN/>
        <w:bidi w:val="0"/>
        <w:adjustRightInd/>
        <w:snapToGrid/>
        <w:spacing w:beforeAutospacing="0" w:afterAutospacing="0" w:line="360" w:lineRule="auto"/>
        <w:ind w:firstLine="56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4.竣工验收过程中若业主、监理、设计等单位提出整改问题，乙方应在收到整改通知起两天内整改完毕，保证项目验收合格；若</w:t>
      </w:r>
      <w:r>
        <w:rPr>
          <w:rFonts w:hint="eastAsia" w:ascii="仿宋_GB2312" w:hAnsi="仿宋_GB2312" w:eastAsia="仿宋_GB2312" w:cs="仿宋_GB2312"/>
          <w:kern w:val="2"/>
          <w:sz w:val="32"/>
          <w:szCs w:val="32"/>
          <w:lang w:val="en-US" w:eastAsia="zh-CN" w:bidi="ar-SA"/>
        </w:rPr>
        <w:t>移交过程中交通管理部门不予接收，乙方自行协调。</w:t>
      </w:r>
      <w:r>
        <w:rPr>
          <w:rFonts w:hint="eastAsia" w:ascii="仿宋_GB2312" w:hAnsi="仿宋_GB2312" w:eastAsia="仿宋_GB2312" w:cs="仿宋_GB2312"/>
          <w:sz w:val="32"/>
          <w:szCs w:val="32"/>
          <w:lang w:val="en-US" w:eastAsia="zh-CN"/>
        </w:rPr>
        <w:t>期间所发生的一切费用由乙方承担。</w:t>
      </w:r>
    </w:p>
    <w:p>
      <w:pPr>
        <w:pStyle w:val="14"/>
        <w:keepNext w:val="0"/>
        <w:keepLines w:val="0"/>
        <w:pageBreakBefore w:val="0"/>
        <w:kinsoku/>
        <w:wordWrap/>
        <w:overflowPunct/>
        <w:topLinePunct w:val="0"/>
        <w:autoSpaceDE/>
        <w:autoSpaceDN/>
        <w:bidi w:val="0"/>
        <w:adjustRightInd/>
        <w:snapToGrid/>
        <w:spacing w:beforeAutospacing="0" w:afterAutospacing="0"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四、运输方式</w:t>
      </w:r>
    </w:p>
    <w:p>
      <w:pPr>
        <w:keepNext w:val="0"/>
        <w:keepLines w:val="0"/>
        <w:pageBreakBefore w:val="0"/>
        <w:kinsoku/>
        <w:wordWrap/>
        <w:overflowPunct/>
        <w:topLinePunct w:val="0"/>
        <w:autoSpaceDE/>
        <w:autoSpaceDN/>
        <w:bidi w:val="0"/>
        <w:adjustRightInd/>
        <w:snapToGrid/>
        <w:spacing w:beforeAutospacing="0" w:afterAutospacing="0"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乙方</w:t>
      </w:r>
      <w:r>
        <w:rPr>
          <w:rFonts w:hint="eastAsia" w:ascii="仿宋_GB2312" w:hAnsi="仿宋_GB2312" w:eastAsia="仿宋_GB2312" w:cs="仿宋_GB2312"/>
          <w:sz w:val="32"/>
          <w:szCs w:val="32"/>
        </w:rPr>
        <w:t>将货运至</w:t>
      </w:r>
      <w:r>
        <w:rPr>
          <w:rFonts w:hint="eastAsia" w:ascii="仿宋_GB2312" w:hAnsi="仿宋_GB2312" w:eastAsia="仿宋_GB2312" w:cs="仿宋_GB2312"/>
          <w:sz w:val="32"/>
          <w:szCs w:val="32"/>
          <w:u w:val="single"/>
        </w:rPr>
        <w:t xml:space="preserve"> 萧县</w:t>
      </w:r>
      <w:r>
        <w:rPr>
          <w:rFonts w:hint="eastAsia" w:ascii="仿宋_GB2312" w:hAnsi="仿宋_GB2312" w:eastAsia="仿宋_GB2312" w:cs="仿宋_GB2312"/>
          <w:sz w:val="32"/>
          <w:szCs w:val="32"/>
        </w:rPr>
        <w:t>，运输工具为</w:t>
      </w:r>
      <w:r>
        <w:rPr>
          <w:rFonts w:hint="eastAsia" w:ascii="仿宋_GB2312" w:hAnsi="仿宋_GB2312" w:eastAsia="仿宋_GB2312" w:cs="仿宋_GB2312"/>
          <w:sz w:val="32"/>
          <w:szCs w:val="32"/>
          <w:u w:val="single"/>
        </w:rPr>
        <w:t xml:space="preserve">  汽 </w:t>
      </w:r>
      <w:r>
        <w:rPr>
          <w:rFonts w:hint="eastAsia" w:ascii="仿宋_GB2312" w:hAnsi="仿宋_GB2312" w:eastAsia="仿宋_GB2312" w:cs="仿宋_GB2312"/>
          <w:sz w:val="32"/>
          <w:szCs w:val="32"/>
        </w:rPr>
        <w:t>运，</w:t>
      </w:r>
      <w:r>
        <w:rPr>
          <w:rFonts w:hint="eastAsia" w:ascii="仿宋_GB2312" w:hAnsi="仿宋_GB2312" w:eastAsia="仿宋_GB2312" w:cs="仿宋_GB2312"/>
          <w:sz w:val="32"/>
          <w:szCs w:val="32"/>
          <w:lang w:val="en-US" w:eastAsia="zh-CN"/>
        </w:rPr>
        <w:t>乙方</w:t>
      </w:r>
      <w:r>
        <w:rPr>
          <w:rFonts w:hint="eastAsia" w:ascii="仿宋_GB2312" w:hAnsi="仿宋_GB2312" w:eastAsia="仿宋_GB2312" w:cs="仿宋_GB2312"/>
          <w:sz w:val="32"/>
          <w:szCs w:val="32"/>
        </w:rPr>
        <w:t>负责卸货。运输过程中发生意外事故造成的损失，由</w:t>
      </w:r>
      <w:r>
        <w:rPr>
          <w:rFonts w:hint="eastAsia" w:ascii="仿宋_GB2312" w:hAnsi="仿宋_GB2312" w:eastAsia="仿宋_GB2312" w:cs="仿宋_GB2312"/>
          <w:sz w:val="32"/>
          <w:szCs w:val="32"/>
          <w:lang w:val="en-US" w:eastAsia="zh-CN"/>
        </w:rPr>
        <w:t>乙方</w:t>
      </w:r>
      <w:r>
        <w:rPr>
          <w:rFonts w:hint="eastAsia" w:ascii="仿宋_GB2312" w:hAnsi="仿宋_GB2312" w:eastAsia="仿宋_GB2312" w:cs="仿宋_GB2312"/>
          <w:sz w:val="32"/>
          <w:szCs w:val="32"/>
        </w:rPr>
        <w:t xml:space="preserve">负全责。    </w:t>
      </w:r>
    </w:p>
    <w:p>
      <w:pPr>
        <w:pStyle w:val="14"/>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结算方式</w:t>
      </w:r>
    </w:p>
    <w:p>
      <w:pPr>
        <w:pStyle w:val="14"/>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leftChars="0" w:firstLine="560" w:firstLineChars="200"/>
        <w:jc w:val="both"/>
        <w:textAlignment w:val="auto"/>
        <w:rPr>
          <w:rFonts w:hint="default" w:ascii="宋体" w:hAnsi="宋体" w:cs="宋体"/>
          <w:color w:val="auto"/>
          <w:sz w:val="28"/>
          <w:szCs w:val="28"/>
          <w:u w:val="single"/>
          <w:lang w:val="en-US" w:eastAsia="zh-CN"/>
        </w:rPr>
      </w:pPr>
      <w:r>
        <w:rPr>
          <w:rFonts w:hint="eastAsia" w:ascii="宋体" w:hAnsi="宋体" w:eastAsia="宋体" w:cs="宋体"/>
          <w:color w:val="auto"/>
          <w:kern w:val="2"/>
          <w:sz w:val="28"/>
          <w:szCs w:val="28"/>
          <w:lang w:val="en-US" w:eastAsia="zh-CN"/>
        </w:rPr>
        <w:t>根据现场工程人员签认单据实结算。供货完成付至应结算价款的70%，工程完工并经验收合格后两个月内付至应结算价款的100%。</w:t>
      </w:r>
    </w:p>
    <w:p>
      <w:pPr>
        <w:pStyle w:val="14"/>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六、安全责任</w:t>
      </w:r>
    </w:p>
    <w:p>
      <w:pPr>
        <w:keepNext w:val="0"/>
        <w:keepLines w:val="0"/>
        <w:pageBreakBefore w:val="0"/>
        <w:kinsoku/>
        <w:wordWrap/>
        <w:overflowPunct/>
        <w:topLinePunct w:val="0"/>
        <w:autoSpaceDE/>
        <w:autoSpaceDN/>
        <w:bidi w:val="0"/>
        <w:adjustRightInd/>
        <w:snapToGrid/>
        <w:spacing w:beforeAutospacing="0" w:afterAutospacing="0"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1.在材料运输过程中所发生的一切安全事故，由乙方承担一切责任。</w:t>
      </w:r>
    </w:p>
    <w:p>
      <w:pPr>
        <w:keepNext w:val="0"/>
        <w:keepLines w:val="0"/>
        <w:pageBreakBefore w:val="0"/>
        <w:kinsoku/>
        <w:wordWrap/>
        <w:overflowPunct/>
        <w:topLinePunct w:val="0"/>
        <w:autoSpaceDE/>
        <w:autoSpaceDN/>
        <w:bidi w:val="0"/>
        <w:adjustRightInd/>
        <w:snapToGrid/>
        <w:spacing w:beforeAutospacing="0" w:afterAutospacing="0" w:line="360" w:lineRule="auto"/>
        <w:ind w:firstLine="640" w:firstLineChars="200"/>
        <w:jc w:val="both"/>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2.在安装过程中，乙方</w:t>
      </w:r>
      <w:r>
        <w:rPr>
          <w:rFonts w:hint="eastAsia" w:ascii="仿宋_GB2312" w:hAnsi="仿宋_GB2312" w:eastAsia="仿宋_GB2312" w:cs="仿宋_GB2312"/>
          <w:sz w:val="32"/>
          <w:szCs w:val="32"/>
        </w:rPr>
        <w:t>应严格遵守公路有关部门的规定，切实执行保证安全的各项安全防护措施，并保证</w:t>
      </w:r>
      <w:r>
        <w:rPr>
          <w:rFonts w:hint="eastAsia" w:ascii="仿宋_GB2312" w:hAnsi="仿宋_GB2312" w:eastAsia="仿宋_GB2312" w:cs="仿宋_GB2312"/>
          <w:sz w:val="32"/>
          <w:szCs w:val="32"/>
          <w:lang w:eastAsia="zh-CN"/>
        </w:rPr>
        <w:t>安装</w:t>
      </w:r>
      <w:r>
        <w:rPr>
          <w:rFonts w:hint="eastAsia" w:ascii="仿宋_GB2312" w:hAnsi="仿宋_GB2312" w:eastAsia="仿宋_GB2312" w:cs="仿宋_GB2312"/>
          <w:sz w:val="32"/>
          <w:szCs w:val="32"/>
        </w:rPr>
        <w:t>安全。</w:t>
      </w:r>
      <w:r>
        <w:rPr>
          <w:rFonts w:hint="eastAsia" w:ascii="仿宋_GB2312" w:hAnsi="仿宋_GB2312" w:eastAsia="仿宋_GB2312" w:cs="仿宋_GB2312"/>
          <w:sz w:val="32"/>
          <w:szCs w:val="32"/>
          <w:lang w:val="en-US" w:eastAsia="zh-CN"/>
        </w:rPr>
        <w:t>若安装过程中发生任何安全事故，由乙方承担一切责任。</w:t>
      </w:r>
    </w:p>
    <w:p>
      <w:pPr>
        <w:pStyle w:val="14"/>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纠纷解决方法</w:t>
      </w:r>
    </w:p>
    <w:p>
      <w:pPr>
        <w:pStyle w:val="14"/>
        <w:keepNext w:val="0"/>
        <w:keepLines w:val="0"/>
        <w:pageBreakBefore w:val="0"/>
        <w:kinsoku/>
        <w:wordWrap/>
        <w:overflowPunct/>
        <w:topLinePunct w:val="0"/>
        <w:autoSpaceDE/>
        <w:autoSpaceDN/>
        <w:bidi w:val="0"/>
        <w:adjustRightInd/>
        <w:snapToGrid/>
        <w:spacing w:beforeAutospacing="0" w:afterAutospacing="0" w:line="360" w:lineRule="auto"/>
        <w:ind w:firstLine="5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甲乙</w:t>
      </w:r>
      <w:r>
        <w:rPr>
          <w:rFonts w:hint="eastAsia" w:ascii="仿宋_GB2312" w:hAnsi="仿宋_GB2312" w:eastAsia="仿宋_GB2312" w:cs="仿宋_GB2312"/>
          <w:sz w:val="32"/>
          <w:szCs w:val="32"/>
        </w:rPr>
        <w:t>双方出现合同纠纷时，应首先通过双方协商解决，协商不成的，</w:t>
      </w:r>
      <w:r>
        <w:rPr>
          <w:rFonts w:hint="eastAsia" w:ascii="仿宋_GB2312" w:hAnsi="仿宋_GB2312" w:eastAsia="仿宋_GB2312" w:cs="仿宋_GB2312"/>
          <w:sz w:val="32"/>
          <w:szCs w:val="32"/>
          <w:lang w:val="en-US" w:eastAsia="zh-CN"/>
        </w:rPr>
        <w:t>向萧县人民法院提起诉讼</w:t>
      </w:r>
      <w:r>
        <w:rPr>
          <w:rFonts w:hint="eastAsia" w:ascii="仿宋_GB2312" w:hAnsi="仿宋_GB2312" w:eastAsia="仿宋_GB2312" w:cs="仿宋_GB2312"/>
          <w:sz w:val="32"/>
          <w:szCs w:val="32"/>
        </w:rPr>
        <w:t>。</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八、保障措施</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1. 乙方承诺完全有能力按甲方的要求确保本合同项下货物的供应及安装，不会影响项目的进度，不会以旺季生产能力不足等理由拒接甲方订单或擅自将甲方订单转包给其他公司生产。</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2. 乙方应按照甲方的要求按时供货及安装，如遇特殊情况，应事先书面通知并征得甲方同意。若乙方未能按甲方要求按时供货及安装，则乙方构成违约，每迟延一天支付5%合同价的违约金。给甲方造成损失的，乙方应当承担损失赔偿责任，违约金不能冲抵赔偿金额。</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3. 双方约定在甲方已接收货物数量的 60%范围内，甲方可以无条件退货。乙方在接到甲方退货通知后一个月内来甲方运回，费用由乙方自理。若超出一个月乙方未来运回，则乙方须按每天该退货货物价值的5%向甲方支付仓储保管费;若超出二个月乙方未来运回，则视为乙方放弃该退货货物，甲方有权对该退货货物做出处理，处理所得资金归甲方所有。</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九、保修期</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640" w:firstLineChars="200"/>
        <w:textAlignment w:val="auto"/>
        <w:rPr>
          <w:rFonts w:hint="default"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自实际交工日期起计算 2年，在保修期内，出现任何质量问题，乙方应免费进行维修，所发生的费用由乙方自行承担。</w:t>
      </w:r>
    </w:p>
    <w:p>
      <w:pPr>
        <w:keepNext w:val="0"/>
        <w:keepLines w:val="0"/>
        <w:pageBreakBefore w:val="0"/>
        <w:kinsoku/>
        <w:wordWrap/>
        <w:overflowPunct/>
        <w:topLinePunct w:val="0"/>
        <w:autoSpaceDE/>
        <w:autoSpaceDN/>
        <w:bidi w:val="0"/>
        <w:adjustRightInd/>
        <w:snapToGrid/>
        <w:spacing w:beforeAutospacing="0" w:afterAutospacing="0"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九、</w:t>
      </w:r>
      <w:r>
        <w:rPr>
          <w:rFonts w:hint="eastAsia" w:ascii="仿宋_GB2312" w:hAnsi="仿宋_GB2312" w:eastAsia="仿宋_GB2312" w:cs="仿宋_GB2312"/>
          <w:sz w:val="32"/>
          <w:szCs w:val="32"/>
        </w:rPr>
        <w:t>本合同经双方签字</w:t>
      </w:r>
      <w:r>
        <w:rPr>
          <w:rFonts w:hint="eastAsia" w:ascii="仿宋_GB2312" w:hAnsi="仿宋_GB2312" w:eastAsia="仿宋_GB2312" w:cs="仿宋_GB2312"/>
          <w:sz w:val="32"/>
          <w:szCs w:val="32"/>
          <w:lang w:val="en-US" w:eastAsia="zh-CN"/>
        </w:rPr>
        <w:t>并</w:t>
      </w:r>
      <w:r>
        <w:rPr>
          <w:rFonts w:hint="eastAsia" w:ascii="仿宋_GB2312" w:hAnsi="仿宋_GB2312" w:eastAsia="仿宋_GB2312" w:cs="仿宋_GB2312"/>
          <w:sz w:val="32"/>
          <w:szCs w:val="32"/>
        </w:rPr>
        <w:t>盖章后生效，一式</w:t>
      </w:r>
      <w:r>
        <w:rPr>
          <w:rFonts w:hint="eastAsia" w:ascii="仿宋_GB2312" w:hAnsi="仿宋_GB2312" w:eastAsia="仿宋_GB2312" w:cs="仿宋_GB2312"/>
          <w:sz w:val="32"/>
          <w:szCs w:val="32"/>
          <w:lang w:val="en-US" w:eastAsia="zh-CN"/>
        </w:rPr>
        <w:t>陆</w:t>
      </w:r>
      <w:r>
        <w:rPr>
          <w:rFonts w:hint="eastAsia" w:ascii="仿宋_GB2312" w:hAnsi="仿宋_GB2312" w:eastAsia="仿宋_GB2312" w:cs="仿宋_GB2312"/>
          <w:sz w:val="32"/>
          <w:szCs w:val="32"/>
        </w:rPr>
        <w:t>份，各存</w:t>
      </w:r>
      <w:r>
        <w:rPr>
          <w:rFonts w:hint="eastAsia" w:ascii="仿宋_GB2312" w:hAnsi="仿宋_GB2312" w:eastAsia="仿宋_GB2312" w:cs="仿宋_GB2312"/>
          <w:sz w:val="32"/>
          <w:szCs w:val="32"/>
          <w:lang w:val="en-US" w:eastAsia="zh-CN"/>
        </w:rPr>
        <w:t>叁</w:t>
      </w:r>
      <w:r>
        <w:rPr>
          <w:rFonts w:hint="eastAsia" w:ascii="仿宋_GB2312" w:hAnsi="仿宋_GB2312" w:eastAsia="仿宋_GB2312" w:cs="仿宋_GB2312"/>
          <w:sz w:val="32"/>
          <w:szCs w:val="32"/>
        </w:rPr>
        <w:t>份。</w:t>
      </w:r>
    </w:p>
    <w:p>
      <w:pPr>
        <w:keepNext w:val="0"/>
        <w:keepLines w:val="0"/>
        <w:pageBreakBefore w:val="0"/>
        <w:kinsoku/>
        <w:wordWrap/>
        <w:overflowPunct/>
        <w:topLinePunct w:val="0"/>
        <w:autoSpaceDE/>
        <w:autoSpaceDN/>
        <w:bidi w:val="0"/>
        <w:adjustRightInd/>
        <w:snapToGrid/>
        <w:spacing w:beforeAutospacing="0" w:afterAutospacing="0"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十、乙方上传询价资料为合同文件组成的一部分。</w:t>
      </w:r>
    </w:p>
    <w:p>
      <w:pPr>
        <w:keepNext w:val="0"/>
        <w:keepLines w:val="0"/>
        <w:pageBreakBefore w:val="0"/>
        <w:kinsoku/>
        <w:wordWrap/>
        <w:overflowPunct/>
        <w:topLinePunct w:val="0"/>
        <w:autoSpaceDE/>
        <w:autoSpaceDN/>
        <w:bidi w:val="0"/>
        <w:adjustRightInd/>
        <w:snapToGrid/>
        <w:spacing w:beforeAutospacing="0" w:afterAutospacing="0" w:line="360" w:lineRule="auto"/>
        <w:ind w:left="6240" w:hanging="8320" w:hangingChars="26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甲方：</w:t>
      </w:r>
      <w:r>
        <w:rPr>
          <w:rFonts w:hint="eastAsia" w:ascii="仿宋_GB2312" w:hAnsi="仿宋_GB2312" w:eastAsia="仿宋_GB2312" w:cs="仿宋_GB2312"/>
          <w:sz w:val="32"/>
          <w:szCs w:val="32"/>
          <w:u w:val="single"/>
          <w:lang w:val="en-US" w:eastAsia="zh-CN"/>
        </w:rPr>
        <w:t xml:space="preserve"> 萧县东升建设有限公司  </w:t>
      </w:r>
      <w:r>
        <w:rPr>
          <w:rFonts w:hint="eastAsia" w:ascii="仿宋_GB2312" w:hAnsi="仿宋_GB2312" w:eastAsia="仿宋_GB2312" w:cs="仿宋_GB2312"/>
          <w:sz w:val="32"/>
          <w:szCs w:val="32"/>
          <w:lang w:val="en-US" w:eastAsia="zh-CN"/>
        </w:rPr>
        <w:t xml:space="preserve">             乙方：</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beforeAutospacing="0" w:afterAutospacing="0" w:line="360" w:lineRule="auto"/>
        <w:ind w:left="6240" w:hanging="8320" w:hangingChars="26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公司地址：</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 xml:space="preserve">             公司地址：</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beforeAutospacing="0" w:afterAutospacing="0" w:line="360" w:lineRule="auto"/>
        <w:ind w:left="6240" w:hanging="8320" w:hangingChars="26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法定代表人或代理人：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 xml:space="preserve">          法定代表人或委托代理人：</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kinsoku/>
        <w:wordWrap/>
        <w:overflowPunct/>
        <w:topLinePunct w:val="0"/>
        <w:autoSpaceDE/>
        <w:autoSpaceDN/>
        <w:bidi w:val="0"/>
        <w:adjustRightInd/>
        <w:snapToGrid/>
        <w:spacing w:beforeAutospacing="0" w:afterAutospacing="0" w:line="360" w:lineRule="auto"/>
        <w:ind w:left="6240" w:hanging="8320" w:hangingChars="26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电话：</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 xml:space="preserve">             电话：</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beforeAutospacing="0" w:afterAutospacing="0" w:line="360" w:lineRule="auto"/>
        <w:ind w:left="6240" w:hanging="8320" w:hangingChars="26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开户行：</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 xml:space="preserve">           开户行：</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beforeAutospacing="0" w:afterAutospacing="0" w:line="360" w:lineRule="auto"/>
        <w:ind w:left="6240" w:hanging="8320" w:hangingChars="26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账号：</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 xml:space="preserve">             账号：</w:t>
      </w:r>
      <w:r>
        <w:rPr>
          <w:rFonts w:hint="eastAsia" w:ascii="仿宋_GB2312" w:hAnsi="仿宋_GB2312" w:eastAsia="仿宋_GB2312" w:cs="仿宋_GB2312"/>
          <w:sz w:val="32"/>
          <w:szCs w:val="32"/>
          <w:u w:val="single"/>
          <w:lang w:val="en-US" w:eastAsia="zh-CN"/>
        </w:rPr>
        <w:t xml:space="preserve">                </w:t>
      </w:r>
    </w:p>
    <w:p>
      <w:pPr>
        <w:jc w:val="left"/>
        <w:rPr>
          <w:rFonts w:hint="default" w:eastAsia="仿宋_GB2312"/>
          <w:lang w:val="en-US" w:eastAsia="zh-CN"/>
        </w:rPr>
      </w:pPr>
      <w:r>
        <w:rPr>
          <w:rFonts w:hint="eastAsia" w:ascii="仿宋_GB2312" w:hAnsi="仿宋_GB2312" w:eastAsia="仿宋_GB2312" w:cs="仿宋_GB2312"/>
          <w:b w:val="0"/>
          <w:bCs/>
          <w:kern w:val="0"/>
          <w:sz w:val="32"/>
          <w:szCs w:val="32"/>
          <w:lang w:val="en-US" w:eastAsia="zh-CN"/>
        </w:rPr>
        <w:t>日期：                             日期：</w:t>
      </w:r>
    </w:p>
    <w:sectPr>
      <w:pgSz w:w="11906" w:h="16838"/>
      <w:pgMar w:top="1213" w:right="1009" w:bottom="1213" w:left="146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3YTEyNzBmZWVlMWQ2OTdmOWFkMmE1OTM1OGUxMTkifQ=="/>
  </w:docVars>
  <w:rsids>
    <w:rsidRoot w:val="00000000"/>
    <w:rsid w:val="038C3362"/>
    <w:rsid w:val="084B4636"/>
    <w:rsid w:val="0A3D14F5"/>
    <w:rsid w:val="0B284D18"/>
    <w:rsid w:val="0B575FD6"/>
    <w:rsid w:val="10A40302"/>
    <w:rsid w:val="1E740F25"/>
    <w:rsid w:val="28821FCB"/>
    <w:rsid w:val="2F3119FF"/>
    <w:rsid w:val="31654C35"/>
    <w:rsid w:val="33FA6AB8"/>
    <w:rsid w:val="35131141"/>
    <w:rsid w:val="35FB2AFB"/>
    <w:rsid w:val="41A9121A"/>
    <w:rsid w:val="4CDF1E12"/>
    <w:rsid w:val="51F657D9"/>
    <w:rsid w:val="598458CF"/>
    <w:rsid w:val="5B913B26"/>
    <w:rsid w:val="5C502303"/>
    <w:rsid w:val="61C02166"/>
    <w:rsid w:val="68AE55D9"/>
    <w:rsid w:val="6C1048E1"/>
    <w:rsid w:val="786751A9"/>
    <w:rsid w:val="7E5E3CA8"/>
    <w:rsid w:val="7F2F69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6"/>
    <w:link w:val="13"/>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after="120" w:afterLines="0" w:line="240" w:lineRule="auto"/>
      <w:ind w:left="420" w:leftChars="200" w:firstLine="420" w:firstLineChars="200"/>
    </w:pPr>
  </w:style>
  <w:style w:type="paragraph" w:styleId="3">
    <w:name w:val="Body Text Indent"/>
    <w:basedOn w:val="1"/>
    <w:next w:val="4"/>
    <w:qFormat/>
    <w:uiPriority w:val="0"/>
    <w:pPr>
      <w:ind w:firstLine="645"/>
    </w:pPr>
    <w:rPr>
      <w:rFonts w:ascii="楷体_GB2312" w:hAnsi="Times New Roman" w:eastAsia="楷体_GB2312"/>
      <w:sz w:val="32"/>
      <w:szCs w:val="20"/>
    </w:rPr>
  </w:style>
  <w:style w:type="paragraph" w:styleId="4">
    <w:name w:val="envelope return"/>
    <w:basedOn w:val="1"/>
    <w:qFormat/>
    <w:uiPriority w:val="0"/>
    <w:pPr>
      <w:snapToGrid w:val="0"/>
    </w:pPr>
    <w:rPr>
      <w:rFonts w:ascii="Arial" w:hAnsi="Arial" w:cs="Arial"/>
      <w:sz w:val="21"/>
      <w:szCs w:val="24"/>
    </w:rPr>
  </w:style>
  <w:style w:type="paragraph" w:styleId="6">
    <w:name w:val="Body Text First Indent"/>
    <w:basedOn w:val="7"/>
    <w:qFormat/>
    <w:uiPriority w:val="0"/>
    <w:pPr>
      <w:spacing w:after="0" w:line="560" w:lineRule="exact"/>
      <w:ind w:firstLine="420" w:firstLineChars="100"/>
    </w:pPr>
    <w:rPr>
      <w:rFonts w:ascii="仿宋_GB2312" w:eastAsia="仿宋_GB2312"/>
      <w:sz w:val="30"/>
    </w:rPr>
  </w:style>
  <w:style w:type="paragraph" w:styleId="7">
    <w:name w:val="Body Text"/>
    <w:basedOn w:val="1"/>
    <w:qFormat/>
    <w:uiPriority w:val="0"/>
    <w:pPr>
      <w:spacing w:after="120"/>
    </w:p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character" w:styleId="12">
    <w:name w:val="Hyperlink"/>
    <w:basedOn w:val="10"/>
    <w:qFormat/>
    <w:uiPriority w:val="0"/>
    <w:rPr>
      <w:color w:val="0000FF"/>
      <w:u w:val="single"/>
    </w:rPr>
  </w:style>
  <w:style w:type="character" w:customStyle="1" w:styleId="13">
    <w:name w:val="标题 1 Char"/>
    <w:link w:val="5"/>
    <w:qFormat/>
    <w:uiPriority w:val="0"/>
    <w:rPr>
      <w:b/>
      <w:kern w:val="44"/>
      <w:sz w:val="44"/>
    </w:rPr>
  </w:style>
  <w:style w:type="paragraph" w:customStyle="1" w:styleId="14">
    <w:name w:val="列表段落"/>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1309</Words>
  <Characters>1364</Characters>
  <Lines>0</Lines>
  <Paragraphs>0</Paragraphs>
  <TotalTime>0</TotalTime>
  <ScaleCrop>false</ScaleCrop>
  <LinksUpToDate>false</LinksUpToDate>
  <CharactersWithSpaces>1985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2021-09-14T06:18:00Z</dcterms:created>
  <dc:creator>Administrator</dc:creator>
  <cp:lastModifiedBy>韩松</cp:lastModifiedBy>
  <dcterms:modified xsi:type="dcterms:W3CDTF">2022-06-02T08:18:00Z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96A652263FFE4D3FA56E137100791729</vt:lpwstr>
  </property>
</Properties>
</file>