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b/>
          <w:bCs/>
          <w:sz w:val="28"/>
          <w:szCs w:val="28"/>
        </w:rPr>
      </w:pPr>
      <w:bookmarkStart w:id="0" w:name="_Toc18634"/>
      <w:r>
        <w:rPr>
          <w:rFonts w:hint="eastAsia"/>
          <w:b/>
          <w:bCs/>
          <w:sz w:val="28"/>
          <w:szCs w:val="28"/>
        </w:rPr>
        <w:t>评审方法</w:t>
      </w:r>
      <w:bookmarkEnd w:id="0"/>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1.1本次评审活动遵循公平、公正、科学、择优的原则。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1.2在本文件规定的提交截止时间后提交的比选申请文件，比选人将拒绝接收。</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二、评审委员会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2.1本项目的评审委员会由比选人按照相关规定组建。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2.2评审委员会成员应当客观、公正地履行职责，遵守职业道德，对所提出的评审意见承担个人责任。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2.3评审程序：资格审查--初步评审—详细评审并排名--编写比选报告。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 在评审过程中，凡未通过上一评审程序的比选申请文件，不再进入后续评审程序。</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三、资格审查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3.1评审委员会首先对所有比选申请文件进行资格审查，资格审查实行强制性合格条件标准（见下表），凡有一项不合格则不能通过。资格审查未通过的不再进入下步评审。</w:t>
      </w:r>
    </w:p>
    <w:p>
      <w:pPr>
        <w:ind w:firstLine="3162" w:firstLineChars="1500"/>
        <w:rPr>
          <w:b/>
          <w:bCs/>
        </w:rPr>
      </w:pPr>
      <w:r>
        <w:rPr>
          <w:rFonts w:hint="eastAsia"/>
          <w:b/>
          <w:bCs/>
        </w:rPr>
        <w:t>资格审查强制性合格条件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2110"/>
        <w:gridCol w:w="539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353" w:type="pct"/>
            <w:tcMar>
              <w:top w:w="15" w:type="dxa"/>
              <w:left w:w="15" w:type="dxa"/>
              <w:bottom w:w="0" w:type="dxa"/>
              <w:right w:w="15" w:type="dxa"/>
            </w:tcMar>
            <w:vAlign w:val="center"/>
          </w:tcPr>
          <w:p>
            <w:pPr>
              <w:jc w:val="center"/>
            </w:pPr>
            <w:r>
              <w:rPr>
                <w:rFonts w:hint="eastAsia"/>
              </w:rPr>
              <w:t>序号</w:t>
            </w:r>
          </w:p>
        </w:tc>
        <w:tc>
          <w:tcPr>
            <w:tcW w:w="1124" w:type="pct"/>
            <w:tcMar>
              <w:top w:w="15" w:type="dxa"/>
              <w:left w:w="15" w:type="dxa"/>
              <w:bottom w:w="0" w:type="dxa"/>
              <w:right w:w="15" w:type="dxa"/>
            </w:tcMar>
            <w:vAlign w:val="center"/>
          </w:tcPr>
          <w:p>
            <w:pPr>
              <w:jc w:val="center"/>
            </w:pPr>
            <w:r>
              <w:rPr>
                <w:rFonts w:hint="eastAsia"/>
              </w:rPr>
              <w:t>审查内容</w:t>
            </w:r>
          </w:p>
        </w:tc>
        <w:tc>
          <w:tcPr>
            <w:tcW w:w="2874" w:type="pct"/>
            <w:tcMar>
              <w:top w:w="15" w:type="dxa"/>
              <w:left w:w="15" w:type="dxa"/>
              <w:bottom w:w="0" w:type="dxa"/>
              <w:right w:w="15" w:type="dxa"/>
            </w:tcMar>
            <w:vAlign w:val="center"/>
          </w:tcPr>
          <w:p>
            <w:pPr>
              <w:jc w:val="center"/>
            </w:pPr>
            <w:r>
              <w:rPr>
                <w:rFonts w:hint="eastAsia"/>
              </w:rPr>
              <w:t>合格条件</w:t>
            </w:r>
          </w:p>
        </w:tc>
        <w:tc>
          <w:tcPr>
            <w:tcW w:w="647" w:type="pct"/>
            <w:tcMar>
              <w:top w:w="15" w:type="dxa"/>
              <w:left w:w="15" w:type="dxa"/>
              <w:bottom w:w="0" w:type="dxa"/>
              <w:right w:w="15" w:type="dxa"/>
            </w:tcMar>
            <w:vAlign w:val="center"/>
          </w:tcPr>
          <w:p>
            <w:r>
              <w:rPr>
                <w:rFonts w:hint="eastAsi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3" w:type="pct"/>
            <w:tcMar>
              <w:top w:w="15" w:type="dxa"/>
              <w:left w:w="15" w:type="dxa"/>
              <w:bottom w:w="0" w:type="dxa"/>
              <w:right w:w="15" w:type="dxa"/>
            </w:tcMar>
            <w:vAlign w:val="center"/>
          </w:tcPr>
          <w:p>
            <w:pPr>
              <w:jc w:val="center"/>
            </w:pPr>
            <w:r>
              <w:rPr>
                <w:rFonts w:hint="eastAsia"/>
              </w:rPr>
              <w:t>1</w:t>
            </w:r>
          </w:p>
        </w:tc>
        <w:tc>
          <w:tcPr>
            <w:tcW w:w="1124" w:type="pct"/>
            <w:tcMar>
              <w:top w:w="15" w:type="dxa"/>
              <w:left w:w="15" w:type="dxa"/>
              <w:bottom w:w="0" w:type="dxa"/>
              <w:right w:w="15" w:type="dxa"/>
            </w:tcMar>
            <w:vAlign w:val="center"/>
          </w:tcPr>
          <w:p>
            <w:pPr>
              <w:jc w:val="center"/>
            </w:pPr>
            <w:r>
              <w:rPr>
                <w:rFonts w:hint="eastAsia"/>
              </w:rPr>
              <w:t>企业法人营业执照</w:t>
            </w:r>
          </w:p>
        </w:tc>
        <w:tc>
          <w:tcPr>
            <w:tcW w:w="2874" w:type="pct"/>
            <w:tcMar>
              <w:top w:w="15" w:type="dxa"/>
              <w:left w:w="15" w:type="dxa"/>
              <w:bottom w:w="0" w:type="dxa"/>
              <w:right w:w="15" w:type="dxa"/>
            </w:tcMar>
            <w:vAlign w:val="center"/>
          </w:tcPr>
          <w:p>
            <w:pPr>
              <w:jc w:val="center"/>
            </w:pPr>
            <w:r>
              <w:rPr>
                <w:rFonts w:hint="eastAsia"/>
              </w:rPr>
              <w:t>独立法人资格，持有有效的营业执照；</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2</w:t>
            </w:r>
          </w:p>
        </w:tc>
        <w:tc>
          <w:tcPr>
            <w:tcW w:w="1124" w:type="pct"/>
            <w:tcMar>
              <w:top w:w="15" w:type="dxa"/>
              <w:left w:w="15" w:type="dxa"/>
              <w:bottom w:w="0" w:type="dxa"/>
              <w:right w:w="15" w:type="dxa"/>
            </w:tcMar>
            <w:vAlign w:val="center"/>
          </w:tcPr>
          <w:p>
            <w:pPr>
              <w:jc w:val="center"/>
            </w:pPr>
            <w:r>
              <w:rPr>
                <w:rFonts w:hint="eastAsia" w:ascii="宋体" w:hAnsi="宋体"/>
              </w:rPr>
              <w:t>法定代表人授权委托书和身份证明书</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3</w:t>
            </w:r>
          </w:p>
        </w:tc>
        <w:tc>
          <w:tcPr>
            <w:tcW w:w="1124" w:type="pct"/>
            <w:tcMar>
              <w:top w:w="15" w:type="dxa"/>
              <w:left w:w="15" w:type="dxa"/>
              <w:bottom w:w="0" w:type="dxa"/>
              <w:right w:w="15" w:type="dxa"/>
            </w:tcMar>
            <w:vAlign w:val="center"/>
          </w:tcPr>
          <w:p>
            <w:pPr>
              <w:spacing w:line="360" w:lineRule="auto"/>
              <w:ind w:right="-10"/>
              <w:jc w:val="center"/>
              <w:rPr>
                <w:rFonts w:ascii="宋体" w:hAnsi="宋体"/>
              </w:rPr>
            </w:pPr>
            <w:r>
              <w:rPr>
                <w:rFonts w:hint="eastAsia" w:ascii="宋体" w:hAnsi="宋体"/>
                <w:lang w:val="en-US" w:eastAsia="zh-CN"/>
              </w:rPr>
              <w:t>2</w:t>
            </w:r>
            <w:r>
              <w:rPr>
                <w:rFonts w:hint="eastAsia" w:ascii="宋体" w:hAnsi="宋体"/>
              </w:rPr>
              <w:t>年内没有重大违法记录或期限已届满的书面声明</w:t>
            </w:r>
            <w:bookmarkStart w:id="5" w:name="_GoBack"/>
            <w:bookmarkEnd w:id="5"/>
          </w:p>
        </w:tc>
        <w:tc>
          <w:tcPr>
            <w:tcW w:w="2874" w:type="pct"/>
            <w:tcMar>
              <w:top w:w="15" w:type="dxa"/>
              <w:left w:w="15" w:type="dxa"/>
              <w:bottom w:w="0" w:type="dxa"/>
              <w:right w:w="15" w:type="dxa"/>
            </w:tcMar>
            <w:vAlign w:val="center"/>
          </w:tcPr>
          <w:p>
            <w:pPr>
              <w:spacing w:line="400" w:lineRule="exact"/>
              <w:ind w:right="-11"/>
              <w:jc w:val="center"/>
              <w:rPr>
                <w:rFonts w:ascii="宋体" w:hAnsi="宋体"/>
              </w:rPr>
            </w:pPr>
            <w:r>
              <w:rPr>
                <w:rFonts w:hint="eastAsia" w:ascii="宋体" w:hAnsi="宋体"/>
              </w:rPr>
              <w:t>参加比选活动前</w:t>
            </w:r>
            <w:r>
              <w:rPr>
                <w:rFonts w:hint="eastAsia" w:ascii="宋体" w:hAnsi="宋体"/>
                <w:lang w:val="en-US" w:eastAsia="zh-CN"/>
              </w:rPr>
              <w:t>2</w:t>
            </w:r>
            <w:r>
              <w:rPr>
                <w:rFonts w:hint="eastAsia" w:ascii="宋体" w:hAnsi="宋体"/>
              </w:rPr>
              <w:t>年内在经营活动中没有重大违法记录或因违法经营被禁止在一定期限内参加采购活动但期限已届满的书面声明。比选申请人自行出具</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4</w:t>
            </w:r>
          </w:p>
        </w:tc>
        <w:tc>
          <w:tcPr>
            <w:tcW w:w="3998" w:type="pct"/>
            <w:gridSpan w:val="2"/>
            <w:tcMar>
              <w:top w:w="15" w:type="dxa"/>
              <w:left w:w="15" w:type="dxa"/>
              <w:bottom w:w="0" w:type="dxa"/>
              <w:right w:w="15" w:type="dxa"/>
            </w:tcMar>
            <w:vAlign w:val="center"/>
          </w:tcPr>
          <w:p>
            <w:pPr>
              <w:jc w:val="center"/>
            </w:pPr>
            <w:r>
              <w:rPr>
                <w:rFonts w:hint="eastAsia"/>
              </w:rPr>
              <w:t>结论：以上条件必须全部通过</w:t>
            </w:r>
          </w:p>
        </w:tc>
        <w:tc>
          <w:tcPr>
            <w:tcW w:w="647" w:type="pct"/>
            <w:tcMar>
              <w:top w:w="15" w:type="dxa"/>
              <w:left w:w="15" w:type="dxa"/>
              <w:bottom w:w="0" w:type="dxa"/>
              <w:right w:w="15" w:type="dxa"/>
            </w:tcMar>
            <w:vAlign w:val="center"/>
          </w:tcPr>
          <w:p/>
        </w:tc>
      </w:tr>
    </w:tbl>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四、初步评审</w:t>
      </w:r>
    </w:p>
    <w:p>
      <w:pPr>
        <w:spacing w:line="360" w:lineRule="auto"/>
        <w:ind w:firstLine="480" w:firstLineChars="200"/>
        <w:rPr>
          <w:rFonts w:asciiTheme="minorEastAsia" w:hAnsiTheme="minorEastAsia"/>
          <w:bCs/>
          <w:sz w:val="24"/>
          <w:szCs w:val="24"/>
        </w:rPr>
      </w:pPr>
      <w:r>
        <w:rPr>
          <w:rFonts w:hint="eastAsia" w:asciiTheme="minorEastAsia" w:hAnsiTheme="minorEastAsia"/>
          <w:sz w:val="24"/>
          <w:szCs w:val="24"/>
        </w:rPr>
        <w:t>4.1 初步评审主要为</w:t>
      </w:r>
      <w:r>
        <w:rPr>
          <w:rFonts w:hint="eastAsia" w:asciiTheme="minorEastAsia" w:hAnsiTheme="minorEastAsia"/>
          <w:bCs/>
          <w:sz w:val="24"/>
          <w:szCs w:val="24"/>
        </w:rPr>
        <w:t>评审委员会对各</w:t>
      </w:r>
      <w:r>
        <w:rPr>
          <w:rFonts w:hint="eastAsia" w:asciiTheme="minorEastAsia" w:hAnsiTheme="minorEastAsia"/>
          <w:sz w:val="24"/>
          <w:szCs w:val="24"/>
        </w:rPr>
        <w:t>比选申请文件</w:t>
      </w:r>
      <w:r>
        <w:rPr>
          <w:rFonts w:hint="eastAsia" w:asciiTheme="minorEastAsia" w:hAnsiTheme="minorEastAsia"/>
          <w:bCs/>
          <w:sz w:val="24"/>
          <w:szCs w:val="24"/>
        </w:rPr>
        <w:t>是否在实质上响应了比选文件要求进行评审。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4.2若比选申请文件有下表中所列任何一种情况的，则视为未能在实质上响应比选文件，属重大偏差，将不进入下一步评审。</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jc w:val="center"/>
        <w:rPr>
          <w:b/>
          <w:bCs/>
          <w:sz w:val="24"/>
          <w:szCs w:val="24"/>
        </w:rPr>
      </w:pPr>
      <w:r>
        <w:rPr>
          <w:rFonts w:hint="eastAsia"/>
          <w:b/>
          <w:bCs/>
          <w:sz w:val="24"/>
          <w:szCs w:val="24"/>
        </w:rPr>
        <w:t>比选申请文件初步评审表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2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9" w:type="pct"/>
            <w:tcBorders>
              <w:top w:val="single" w:color="auto" w:sz="12" w:space="0"/>
              <w:left w:val="single" w:color="auto" w:sz="12" w:space="0"/>
            </w:tcBorders>
            <w:vAlign w:val="center"/>
          </w:tcPr>
          <w:p>
            <w:r>
              <w:rPr>
                <w:rFonts w:hint="eastAsia"/>
              </w:rPr>
              <w:t>序号</w:t>
            </w:r>
          </w:p>
        </w:tc>
        <w:tc>
          <w:tcPr>
            <w:tcW w:w="3568" w:type="pct"/>
            <w:tcBorders>
              <w:top w:val="single" w:color="auto" w:sz="12" w:space="0"/>
            </w:tcBorders>
            <w:vAlign w:val="center"/>
          </w:tcPr>
          <w:p>
            <w:r>
              <w:rPr>
                <w:rFonts w:hint="eastAsia"/>
              </w:rPr>
              <w:t>重大偏差情况</w:t>
            </w:r>
          </w:p>
        </w:tc>
        <w:tc>
          <w:tcPr>
            <w:tcW w:w="1043" w:type="pct"/>
            <w:tcBorders>
              <w:top w:val="single" w:color="auto" w:sz="12" w:space="0"/>
              <w:right w:val="single" w:color="auto" w:sz="12" w:space="0"/>
            </w:tcBorders>
            <w:vAlign w:val="center"/>
          </w:tcPr>
          <w:p>
            <w:r>
              <w:rPr>
                <w:rFonts w:hint="eastAsia"/>
              </w:rPr>
              <w:t>（填写“√”或“×”）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89" w:type="pct"/>
            <w:tcBorders>
              <w:left w:val="single" w:color="auto" w:sz="12" w:space="0"/>
            </w:tcBorders>
            <w:vAlign w:val="center"/>
          </w:tcPr>
          <w:p>
            <w:r>
              <w:rPr>
                <w:rFonts w:hint="eastAsia"/>
              </w:rPr>
              <w:t>1</w:t>
            </w:r>
          </w:p>
        </w:tc>
        <w:tc>
          <w:tcPr>
            <w:tcW w:w="3568" w:type="pct"/>
            <w:vAlign w:val="center"/>
          </w:tcPr>
          <w:p>
            <w:r>
              <w:rPr>
                <w:rFonts w:hint="eastAsia"/>
              </w:rPr>
              <w:t>比选申请文件签字或盖章符合比选文件要求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9" w:type="pct"/>
            <w:tcBorders>
              <w:left w:val="single" w:color="auto" w:sz="12" w:space="0"/>
            </w:tcBorders>
            <w:vAlign w:val="center"/>
          </w:tcPr>
          <w:p>
            <w:r>
              <w:rPr>
                <w:rFonts w:hint="eastAsia"/>
              </w:rPr>
              <w:t>2</w:t>
            </w:r>
          </w:p>
        </w:tc>
        <w:tc>
          <w:tcPr>
            <w:tcW w:w="3568" w:type="pct"/>
            <w:vAlign w:val="center"/>
          </w:tcPr>
          <w:p>
            <w:r>
              <w:rPr>
                <w:rFonts w:hint="eastAsia"/>
                <w:bCs/>
              </w:rPr>
              <w:t>符合国家有关法规、文件和标准的要求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9" w:type="pct"/>
            <w:tcBorders>
              <w:left w:val="single" w:color="auto" w:sz="12" w:space="0"/>
            </w:tcBorders>
            <w:vAlign w:val="center"/>
          </w:tcPr>
          <w:p>
            <w:r>
              <w:rPr>
                <w:rFonts w:hint="eastAsia"/>
              </w:rPr>
              <w:t>3</w:t>
            </w:r>
          </w:p>
        </w:tc>
        <w:tc>
          <w:tcPr>
            <w:tcW w:w="3568" w:type="pct"/>
            <w:vAlign w:val="center"/>
          </w:tcPr>
          <w:p>
            <w:r>
              <w:rPr>
                <w:rFonts w:hint="eastAsia"/>
              </w:rPr>
              <w:t>比选申请文件内容齐全、关键字迹清晰</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9" w:type="pct"/>
            <w:tcBorders>
              <w:left w:val="single" w:color="auto" w:sz="12" w:space="0"/>
            </w:tcBorders>
            <w:vAlign w:val="center"/>
          </w:tcPr>
          <w:p>
            <w:r>
              <w:rPr>
                <w:rFonts w:hint="eastAsia"/>
              </w:rPr>
              <w:t>4</w:t>
            </w:r>
          </w:p>
        </w:tc>
        <w:tc>
          <w:tcPr>
            <w:tcW w:w="3568" w:type="pct"/>
            <w:vAlign w:val="center"/>
          </w:tcPr>
          <w:p>
            <w:r>
              <w:rPr>
                <w:rFonts w:hint="eastAsia"/>
              </w:rPr>
              <w:t>比选申请人的报价符合比选文件规定</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 w:type="pct"/>
            <w:tcBorders>
              <w:left w:val="single" w:color="auto" w:sz="12" w:space="0"/>
            </w:tcBorders>
            <w:vAlign w:val="center"/>
          </w:tcPr>
          <w:p>
            <w:r>
              <w:rPr>
                <w:rFonts w:hint="eastAsia"/>
              </w:rPr>
              <w:t>5</w:t>
            </w:r>
          </w:p>
        </w:tc>
        <w:tc>
          <w:tcPr>
            <w:tcW w:w="3568" w:type="pct"/>
            <w:vAlign w:val="center"/>
          </w:tcPr>
          <w:p>
            <w:r>
              <w:rPr>
                <w:rFonts w:hint="eastAsia"/>
              </w:rPr>
              <w:t>比选申请文件未附有比选人不能接受的条件</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57" w:type="pct"/>
            <w:gridSpan w:val="2"/>
            <w:tcBorders>
              <w:left w:val="single" w:color="auto" w:sz="12" w:space="0"/>
            </w:tcBorders>
            <w:vAlign w:val="center"/>
          </w:tcPr>
          <w:p>
            <w:r>
              <w:rPr>
                <w:rFonts w:hint="eastAsia"/>
              </w:rPr>
              <w:t>结论（填写“√”或“×”）</w:t>
            </w:r>
          </w:p>
        </w:tc>
        <w:tc>
          <w:tcPr>
            <w:tcW w:w="1043" w:type="pct"/>
            <w:tcBorders>
              <w:right w:val="single" w:color="auto" w:sz="12" w:space="0"/>
            </w:tcBorders>
            <w:vAlign w:val="center"/>
          </w:tc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numPr>
          <w:ilvl w:val="0"/>
          <w:numId w:val="1"/>
        </w:numPr>
        <w:spacing w:line="360" w:lineRule="auto"/>
        <w:ind w:firstLine="482" w:firstLineChars="200"/>
        <w:rPr>
          <w:rFonts w:asciiTheme="minorEastAsia" w:hAnsiTheme="minorEastAsia"/>
          <w:b/>
          <w:sz w:val="24"/>
          <w:szCs w:val="24"/>
        </w:rPr>
      </w:pPr>
      <w:bookmarkStart w:id="1" w:name="_Toc10125"/>
      <w:r>
        <w:rPr>
          <w:rFonts w:hint="eastAsia" w:asciiTheme="minorEastAsia" w:hAnsiTheme="minorEastAsia"/>
          <w:b/>
          <w:sz w:val="24"/>
          <w:szCs w:val="24"/>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70"/>
        <w:gridCol w:w="438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r>
              <w:rPr>
                <w:rFonts w:hint="eastAsia"/>
              </w:rPr>
              <w:t>评审项目</w:t>
            </w:r>
          </w:p>
        </w:tc>
        <w:tc>
          <w:tcPr>
            <w:tcW w:w="1870" w:type="dxa"/>
            <w:tcBorders>
              <w:bottom w:val="single" w:color="auto" w:sz="4" w:space="0"/>
            </w:tcBorders>
          </w:tcPr>
          <w:p>
            <w:r>
              <w:rPr>
                <w:rFonts w:hint="eastAsia"/>
              </w:rPr>
              <w:t>分值</w:t>
            </w:r>
          </w:p>
        </w:tc>
        <w:tc>
          <w:tcPr>
            <w:tcW w:w="4382" w:type="dxa"/>
          </w:tcPr>
          <w:p>
            <w:r>
              <w:rPr>
                <w:rFonts w:hint="eastAsia"/>
              </w:rPr>
              <w:t>评审内容及标准</w:t>
            </w:r>
          </w:p>
        </w:tc>
        <w:tc>
          <w:tcPr>
            <w:tcW w:w="164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vAlign w:val="center"/>
          </w:tcPr>
          <w:p>
            <w:r>
              <w:t>技术评分</w:t>
            </w:r>
          </w:p>
        </w:tc>
        <w:tc>
          <w:tcPr>
            <w:tcW w:w="1870" w:type="dxa"/>
            <w:vMerge w:val="restart"/>
            <w:tcBorders>
              <w:top w:val="single" w:color="auto" w:sz="4" w:space="0"/>
              <w:left w:val="single" w:color="auto" w:sz="4" w:space="0"/>
              <w:right w:val="single" w:color="auto" w:sz="4" w:space="0"/>
            </w:tcBorders>
            <w:vAlign w:val="center"/>
          </w:tcPr>
          <w:p>
            <w:r>
              <w:rPr>
                <w:rFonts w:hint="eastAsia"/>
              </w:rPr>
              <w:t>55</w:t>
            </w:r>
            <w:r>
              <w:t xml:space="preserve"> 分</w:t>
            </w:r>
            <w:r>
              <w:rPr>
                <w:rFonts w:hint="eastAsia"/>
              </w:rPr>
              <w:t xml:space="preserve"> </w:t>
            </w:r>
          </w:p>
        </w:tc>
        <w:tc>
          <w:tcPr>
            <w:tcW w:w="4382" w:type="dxa"/>
            <w:vMerge w:val="restart"/>
            <w:tcBorders>
              <w:left w:val="single" w:color="auto" w:sz="4" w:space="0"/>
            </w:tcBorders>
          </w:tcPr>
          <w:p>
            <w:r>
              <w:rPr>
                <w:rFonts w:hint="eastAsia"/>
              </w:rPr>
              <w:t>1、对工程概况理解详尽、透彻。以上内容由磋商小组在0-10分之间综合打分。</w:t>
            </w:r>
          </w:p>
          <w:p>
            <w:r>
              <w:rPr>
                <w:rFonts w:hint="eastAsia"/>
              </w:rPr>
              <w:t>2、服务方案（含工程特点、施工重点与难点及绿色施工）总体安排合理，运用先进、合理的施工工艺；对施工难点有先进和合理的建议。以上内容由磋商小组在0-</w:t>
            </w:r>
            <w:r>
              <w:rPr>
                <w:rFonts w:hint="eastAsia"/>
                <w:lang w:val="en-US" w:eastAsia="zh-CN"/>
              </w:rPr>
              <w:t>45</w:t>
            </w:r>
            <w:r>
              <w:rPr>
                <w:rFonts w:hint="eastAsia"/>
              </w:rPr>
              <w:t>分之间综合打分。</w:t>
            </w: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tcBorders>
          </w:tcP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bottom w:val="single" w:color="auto" w:sz="4" w:space="0"/>
            </w:tcBorders>
          </w:tcPr>
          <w:p/>
        </w:tc>
        <w:tc>
          <w:tcPr>
            <w:tcW w:w="1647" w:type="dxa"/>
          </w:tcPr>
          <w:p>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503" w:type="dxa"/>
          </w:tcPr>
          <w:p/>
          <w:p/>
          <w:p/>
          <w:p/>
          <w:p>
            <w:r>
              <w:rPr>
                <w:rFonts w:hint="eastAsia"/>
              </w:rPr>
              <w:t>评标价</w:t>
            </w:r>
          </w:p>
        </w:tc>
        <w:tc>
          <w:tcPr>
            <w:tcW w:w="1870" w:type="dxa"/>
          </w:tcPr>
          <w:p/>
          <w:p/>
          <w:p/>
          <w:p/>
          <w:p>
            <w:r>
              <w:rPr>
                <w:rFonts w:hint="eastAsia"/>
              </w:rPr>
              <w:t>45分</w:t>
            </w:r>
          </w:p>
        </w:tc>
        <w:tc>
          <w:tcPr>
            <w:tcW w:w="6029" w:type="dxa"/>
            <w:gridSpan w:val="2"/>
          </w:tcPr>
          <w:p/>
          <w:p>
            <w:r>
              <w:t>评标价得分计算公式示例：</w:t>
            </w:r>
          </w:p>
          <w:p>
            <w:r>
              <w:t>(1)如果投标人的评标价＞评标基准价，则评标价得分=F－偏差率×100×E1；(2)如果投标人的评标价≤评标基准价，则评标价得分=F＋偏差率×100×E2；其中：F是评标价所占的权重分值，F=</w:t>
            </w:r>
            <w:r>
              <w:rPr>
                <w:rFonts w:hint="eastAsia"/>
              </w:rPr>
              <w:t>45</w:t>
            </w:r>
            <w:r>
              <w:t>；</w:t>
            </w:r>
          </w:p>
          <w:p>
            <w:r>
              <w:t>E1：是评标价每高于评标基准价一个百分点的扣分值，E1=</w:t>
            </w:r>
            <w:r>
              <w:rPr>
                <w:rFonts w:hint="eastAsia"/>
                <w:lang w:val="en-US" w:eastAsia="zh-CN"/>
              </w:rPr>
              <w:t>2</w:t>
            </w:r>
            <w:r>
              <w:t>；</w:t>
            </w:r>
          </w:p>
          <w:p>
            <w:r>
              <w:t>E2：是评标价每低于评标基准价一个百分点的扣分值，E2=</w:t>
            </w:r>
            <w:r>
              <w:rPr>
                <w:rFonts w:hint="eastAsia"/>
                <w:lang w:val="en-US" w:eastAsia="zh-CN"/>
              </w:rPr>
              <w:t>1</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503" w:type="dxa"/>
          </w:tcPr>
          <w:p/>
        </w:tc>
        <w:tc>
          <w:tcPr>
            <w:tcW w:w="1870" w:type="dxa"/>
          </w:tcPr>
          <w:p/>
          <w:p/>
          <w:p/>
          <w:p/>
          <w:p/>
          <w:p/>
          <w:p/>
          <w:p>
            <w:r>
              <w:t>评标基准价计算方法</w:t>
            </w:r>
          </w:p>
        </w:tc>
        <w:tc>
          <w:tcPr>
            <w:tcW w:w="6029" w:type="dxa"/>
            <w:gridSpan w:val="2"/>
          </w:tcPr>
          <w:p>
            <w:r>
              <w:t>评标基准价的计算：</w:t>
            </w:r>
          </w:p>
          <w:p>
            <w:r>
              <w:t>在开标现场，招标人将当场计算并宣布评标基准价。</w:t>
            </w:r>
          </w:p>
          <w:p>
            <w:pPr>
              <w:numPr>
                <w:ilvl w:val="0"/>
                <w:numId w:val="2"/>
              </w:numPr>
            </w:pPr>
            <w:r>
              <w:t>评标价的确定：评标价＝投标函文字报价</w:t>
            </w:r>
          </w:p>
          <w:p>
            <w:pPr>
              <w:numPr>
                <w:ilvl w:val="0"/>
                <w:numId w:val="2"/>
              </w:numPr>
            </w:pPr>
            <w:r>
              <w:t>评标价平均值的计算：</w:t>
            </w:r>
          </w:p>
          <w:p>
            <w:pPr>
              <w:numPr>
                <w:ilvl w:val="0"/>
                <w:numId w:val="3"/>
              </w:numPr>
            </w:pPr>
            <w:r>
              <w:t>未通过形式评审</w:t>
            </w:r>
            <w:r>
              <w:rPr>
                <w:rFonts w:hint="eastAsia"/>
              </w:rPr>
              <w:t>或</w:t>
            </w:r>
            <w:r>
              <w:t>资格评审</w:t>
            </w:r>
            <w:r>
              <w:rPr>
                <w:rFonts w:hint="eastAsia"/>
              </w:rPr>
              <w:t>或</w:t>
            </w:r>
            <w:r>
              <w:t>形式响应性评审的投标报价不参与评标价平均值的计算；</w:t>
            </w:r>
          </w:p>
          <w:p>
            <w:pPr>
              <w:numPr>
                <w:ilvl w:val="0"/>
                <w:numId w:val="3"/>
              </w:numPr>
            </w:pPr>
            <w:r>
              <w:t>除去上述情形后的其他所有投标人的评标价的算术平均值即为评标价平均值（如果参与计算的有效投标人大于或等于</w:t>
            </w:r>
            <w:r>
              <w:rPr>
                <w:rFonts w:hint="eastAsia"/>
              </w:rPr>
              <w:t>5</w:t>
            </w:r>
            <w:r>
              <w:t>家，则去掉一个最高值和一个最低值计算算术平均值）。</w:t>
            </w:r>
          </w:p>
          <w:p>
            <w:r>
              <w:t>（3）评标基准价的确定：</w:t>
            </w:r>
          </w:p>
          <w:p/>
          <w:p>
            <w:r>
              <w:t>评标基准价=评标价平均值。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373" w:type="dxa"/>
            <w:gridSpan w:val="2"/>
          </w:tcPr>
          <w:p/>
          <w:p>
            <w:r>
              <w:t>评标价的偏差率计算公式</w:t>
            </w:r>
          </w:p>
        </w:tc>
        <w:tc>
          <w:tcPr>
            <w:tcW w:w="6029" w:type="dxa"/>
            <w:gridSpan w:val="2"/>
          </w:tcPr>
          <w:p/>
          <w:p>
            <w:r>
              <w:t>偏差率=100%×（投标人评标价-评标基准价）/评标基准价</w:t>
            </w:r>
          </w:p>
          <w:p>
            <w:r>
              <w:t>偏差率保留</w:t>
            </w:r>
            <w:r>
              <w:rPr>
                <w:rFonts w:hint="eastAsia"/>
              </w:rPr>
              <w:t>2</w:t>
            </w:r>
            <w:r>
              <w:t>位小数</w:t>
            </w:r>
          </w:p>
        </w:tc>
      </w:tr>
    </w:tbl>
    <w:p>
      <w:pPr>
        <w:spacing w:line="360" w:lineRule="auto"/>
        <w:ind w:firstLine="482" w:firstLineChars="200"/>
        <w:rPr>
          <w:b/>
          <w:bCs/>
          <w:sz w:val="24"/>
          <w:szCs w:val="24"/>
        </w:rPr>
      </w:pPr>
      <w:bookmarkStart w:id="2" w:name="_Toc3995"/>
      <w:r>
        <w:rPr>
          <w:rFonts w:hint="eastAsia"/>
          <w:b/>
          <w:bCs/>
          <w:sz w:val="24"/>
          <w:szCs w:val="24"/>
        </w:rPr>
        <w:t>六、排名并推荐中选人</w:t>
      </w:r>
      <w:bookmarkEnd w:id="1"/>
      <w:bookmarkEnd w:id="2"/>
    </w:p>
    <w:p>
      <w:pPr>
        <w:spacing w:line="360" w:lineRule="auto"/>
        <w:ind w:firstLine="480" w:firstLineChars="200"/>
        <w:rPr>
          <w:sz w:val="24"/>
          <w:szCs w:val="24"/>
        </w:rPr>
      </w:pPr>
      <w:r>
        <w:rPr>
          <w:rFonts w:hint="eastAsia"/>
          <w:bCs/>
          <w:sz w:val="24"/>
          <w:szCs w:val="24"/>
        </w:rPr>
        <w:t>本次评标采用综合评分法。评标委员会对满足比选文件实质性要求的比选申请文件，按照评分标准进行打分（保留到小数点后两位），并按综合得分由高到低顺序确定中选人；若总得分相同时，以报价由低到高的顺序确定；若报价得分仍相同的，由得分相同的比选申请人现场抽签确定，</w:t>
      </w:r>
      <w:r>
        <w:rPr>
          <w:rFonts w:hint="eastAsia"/>
          <w:sz w:val="24"/>
          <w:szCs w:val="24"/>
        </w:rPr>
        <w:t>形成比选报告，并对中选人进行公示。对未中选的比选申请人，比选人将不作任何解释，但可告知其评比结果的排名顺序</w:t>
      </w:r>
    </w:p>
    <w:p>
      <w:bookmarkStart w:id="3" w:name="_Toc258486031"/>
      <w:bookmarkStart w:id="4" w:name="_Toc300214653"/>
    </w:p>
    <w:p/>
    <w:bookmarkEnd w:id="3"/>
    <w:bookmarkEnd w:id="4"/>
    <w:p/>
    <w:sectPr>
      <w:headerReference r:id="rId4" w:type="first"/>
      <w:headerReference r:id="rId3" w:type="default"/>
      <w:footerReference r:id="rId5" w:type="default"/>
      <w:footerReference r:id="rId6" w:type="even"/>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78" w:hanging="27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02" w:hanging="270"/>
      </w:pPr>
      <w:rPr>
        <w:rFonts w:hint="default"/>
        <w:lang w:val="zh-CN" w:eastAsia="zh-CN" w:bidi="zh-CN"/>
      </w:rPr>
    </w:lvl>
    <w:lvl w:ilvl="2" w:tentative="0">
      <w:start w:val="0"/>
      <w:numFmt w:val="bullet"/>
      <w:lvlText w:val="•"/>
      <w:lvlJc w:val="left"/>
      <w:pPr>
        <w:ind w:left="1824" w:hanging="270"/>
      </w:pPr>
      <w:rPr>
        <w:rFonts w:hint="default"/>
        <w:lang w:val="zh-CN" w:eastAsia="zh-CN" w:bidi="zh-CN"/>
      </w:rPr>
    </w:lvl>
    <w:lvl w:ilvl="3" w:tentative="0">
      <w:start w:val="0"/>
      <w:numFmt w:val="bullet"/>
      <w:lvlText w:val="•"/>
      <w:lvlJc w:val="left"/>
      <w:pPr>
        <w:ind w:left="2547" w:hanging="270"/>
      </w:pPr>
      <w:rPr>
        <w:rFonts w:hint="default"/>
        <w:lang w:val="zh-CN" w:eastAsia="zh-CN" w:bidi="zh-CN"/>
      </w:rPr>
    </w:lvl>
    <w:lvl w:ilvl="4" w:tentative="0">
      <w:start w:val="0"/>
      <w:numFmt w:val="bullet"/>
      <w:lvlText w:val="•"/>
      <w:lvlJc w:val="left"/>
      <w:pPr>
        <w:ind w:left="3269" w:hanging="270"/>
      </w:pPr>
      <w:rPr>
        <w:rFonts w:hint="default"/>
        <w:lang w:val="zh-CN" w:eastAsia="zh-CN" w:bidi="zh-CN"/>
      </w:rPr>
    </w:lvl>
    <w:lvl w:ilvl="5" w:tentative="0">
      <w:start w:val="0"/>
      <w:numFmt w:val="bullet"/>
      <w:lvlText w:val="•"/>
      <w:lvlJc w:val="left"/>
      <w:pPr>
        <w:ind w:left="3992" w:hanging="270"/>
      </w:pPr>
      <w:rPr>
        <w:rFonts w:hint="default"/>
        <w:lang w:val="zh-CN" w:eastAsia="zh-CN" w:bidi="zh-CN"/>
      </w:rPr>
    </w:lvl>
    <w:lvl w:ilvl="6" w:tentative="0">
      <w:start w:val="0"/>
      <w:numFmt w:val="bullet"/>
      <w:lvlText w:val="•"/>
      <w:lvlJc w:val="left"/>
      <w:pPr>
        <w:ind w:left="4714" w:hanging="270"/>
      </w:pPr>
      <w:rPr>
        <w:rFonts w:hint="default"/>
        <w:lang w:val="zh-CN" w:eastAsia="zh-CN" w:bidi="zh-CN"/>
      </w:rPr>
    </w:lvl>
    <w:lvl w:ilvl="7" w:tentative="0">
      <w:start w:val="0"/>
      <w:numFmt w:val="bullet"/>
      <w:lvlText w:val="•"/>
      <w:lvlJc w:val="left"/>
      <w:pPr>
        <w:ind w:left="5436" w:hanging="270"/>
      </w:pPr>
      <w:rPr>
        <w:rFonts w:hint="default"/>
        <w:lang w:val="zh-CN" w:eastAsia="zh-CN" w:bidi="zh-CN"/>
      </w:rPr>
    </w:lvl>
    <w:lvl w:ilvl="8" w:tentative="0">
      <w:start w:val="0"/>
      <w:numFmt w:val="bullet"/>
      <w:lvlText w:val="•"/>
      <w:lvlJc w:val="left"/>
      <w:pPr>
        <w:ind w:left="6159" w:hanging="270"/>
      </w:pPr>
      <w:rPr>
        <w:rFonts w:hint="default"/>
        <w:lang w:val="zh-CN" w:eastAsia="zh-CN" w:bidi="zh-CN"/>
      </w:rPr>
    </w:lvl>
  </w:abstractNum>
  <w:abstractNum w:abstractNumId="1">
    <w:nsid w:val="0090FCD5"/>
    <w:multiLevelType w:val="singleLevel"/>
    <w:tmpl w:val="0090FCD5"/>
    <w:lvl w:ilvl="0" w:tentative="0">
      <w:start w:val="5"/>
      <w:numFmt w:val="chineseCounting"/>
      <w:suff w:val="nothing"/>
      <w:lvlText w:val="%1、"/>
      <w:lvlJc w:val="left"/>
      <w:rPr>
        <w:rFonts w:hint="eastAsia"/>
      </w:rPr>
    </w:lvl>
  </w:abstractNum>
  <w:abstractNum w:abstractNumId="2">
    <w:nsid w:val="39A0D9AC"/>
    <w:multiLevelType w:val="multilevel"/>
    <w:tmpl w:val="39A0D9AC"/>
    <w:lvl w:ilvl="0" w:tentative="0">
      <w:start w:val="1"/>
      <w:numFmt w:val="decimal"/>
      <w:lvlText w:val="（%1）"/>
      <w:lvlJc w:val="left"/>
      <w:pPr>
        <w:ind w:left="558" w:hanging="45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264" w:hanging="450"/>
      </w:pPr>
      <w:rPr>
        <w:rFonts w:hint="default"/>
        <w:lang w:val="zh-CN" w:eastAsia="zh-CN" w:bidi="zh-CN"/>
      </w:rPr>
    </w:lvl>
    <w:lvl w:ilvl="2" w:tentative="0">
      <w:start w:val="0"/>
      <w:numFmt w:val="bullet"/>
      <w:lvlText w:val="•"/>
      <w:lvlJc w:val="left"/>
      <w:pPr>
        <w:ind w:left="1968" w:hanging="450"/>
      </w:pPr>
      <w:rPr>
        <w:rFonts w:hint="default"/>
        <w:lang w:val="zh-CN" w:eastAsia="zh-CN" w:bidi="zh-CN"/>
      </w:rPr>
    </w:lvl>
    <w:lvl w:ilvl="3" w:tentative="0">
      <w:start w:val="0"/>
      <w:numFmt w:val="bullet"/>
      <w:lvlText w:val="•"/>
      <w:lvlJc w:val="left"/>
      <w:pPr>
        <w:ind w:left="2673" w:hanging="450"/>
      </w:pPr>
      <w:rPr>
        <w:rFonts w:hint="default"/>
        <w:lang w:val="zh-CN" w:eastAsia="zh-CN" w:bidi="zh-CN"/>
      </w:rPr>
    </w:lvl>
    <w:lvl w:ilvl="4" w:tentative="0">
      <w:start w:val="0"/>
      <w:numFmt w:val="bullet"/>
      <w:lvlText w:val="•"/>
      <w:lvlJc w:val="left"/>
      <w:pPr>
        <w:ind w:left="3377" w:hanging="450"/>
      </w:pPr>
      <w:rPr>
        <w:rFonts w:hint="default"/>
        <w:lang w:val="zh-CN" w:eastAsia="zh-CN" w:bidi="zh-CN"/>
      </w:rPr>
    </w:lvl>
    <w:lvl w:ilvl="5" w:tentative="0">
      <w:start w:val="0"/>
      <w:numFmt w:val="bullet"/>
      <w:lvlText w:val="•"/>
      <w:lvlJc w:val="left"/>
      <w:pPr>
        <w:ind w:left="4082" w:hanging="450"/>
      </w:pPr>
      <w:rPr>
        <w:rFonts w:hint="default"/>
        <w:lang w:val="zh-CN" w:eastAsia="zh-CN" w:bidi="zh-CN"/>
      </w:rPr>
    </w:lvl>
    <w:lvl w:ilvl="6" w:tentative="0">
      <w:start w:val="0"/>
      <w:numFmt w:val="bullet"/>
      <w:lvlText w:val="•"/>
      <w:lvlJc w:val="left"/>
      <w:pPr>
        <w:ind w:left="4786" w:hanging="450"/>
      </w:pPr>
      <w:rPr>
        <w:rFonts w:hint="default"/>
        <w:lang w:val="zh-CN" w:eastAsia="zh-CN" w:bidi="zh-CN"/>
      </w:rPr>
    </w:lvl>
    <w:lvl w:ilvl="7" w:tentative="0">
      <w:start w:val="0"/>
      <w:numFmt w:val="bullet"/>
      <w:lvlText w:val="•"/>
      <w:lvlJc w:val="left"/>
      <w:pPr>
        <w:ind w:left="5490" w:hanging="450"/>
      </w:pPr>
      <w:rPr>
        <w:rFonts w:hint="default"/>
        <w:lang w:val="zh-CN" w:eastAsia="zh-CN" w:bidi="zh-CN"/>
      </w:rPr>
    </w:lvl>
    <w:lvl w:ilvl="8" w:tentative="0">
      <w:start w:val="0"/>
      <w:numFmt w:val="bullet"/>
      <w:lvlText w:val="•"/>
      <w:lvlJc w:val="left"/>
      <w:pPr>
        <w:ind w:left="6195" w:hanging="450"/>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C7660C"/>
    <w:rsid w:val="00264A3B"/>
    <w:rsid w:val="0039690C"/>
    <w:rsid w:val="003A162F"/>
    <w:rsid w:val="004563E2"/>
    <w:rsid w:val="004A28D9"/>
    <w:rsid w:val="0054555F"/>
    <w:rsid w:val="00604345"/>
    <w:rsid w:val="00676180"/>
    <w:rsid w:val="00782739"/>
    <w:rsid w:val="007A516E"/>
    <w:rsid w:val="007D3C6B"/>
    <w:rsid w:val="0080411D"/>
    <w:rsid w:val="00832CAD"/>
    <w:rsid w:val="00A451D2"/>
    <w:rsid w:val="00A70BB4"/>
    <w:rsid w:val="00C157D3"/>
    <w:rsid w:val="00C7660C"/>
    <w:rsid w:val="00C855F2"/>
    <w:rsid w:val="00DA2890"/>
    <w:rsid w:val="00DA36BA"/>
    <w:rsid w:val="00E4585C"/>
    <w:rsid w:val="00FC028E"/>
    <w:rsid w:val="1A441990"/>
    <w:rsid w:val="3C28638E"/>
    <w:rsid w:val="7770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宋体" w:hAnsi="宋体"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character" w:styleId="6">
    <w:name w:val="page number"/>
    <w:qFormat/>
    <w:uiPriority w:val="0"/>
  </w:style>
  <w:style w:type="character" w:customStyle="1" w:styleId="7">
    <w:name w:val="页脚 Char"/>
    <w:basedOn w:val="5"/>
    <w:link w:val="2"/>
    <w:qFormat/>
    <w:uiPriority w:val="0"/>
    <w:rPr>
      <w:rFonts w:ascii="宋体" w:hAnsi="宋体" w:eastAsia="宋体" w:cs="Times New Roman"/>
      <w:sz w:val="18"/>
      <w:szCs w:val="18"/>
    </w:rPr>
  </w:style>
  <w:style w:type="character" w:customStyle="1" w:styleId="8">
    <w:name w:val="页眉 Char"/>
    <w:basedOn w:val="5"/>
    <w:link w:val="3"/>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1708</Words>
  <Characters>1778</Characters>
  <Lines>13</Lines>
  <Paragraphs>3</Paragraphs>
  <TotalTime>29</TotalTime>
  <ScaleCrop>false</ScaleCrop>
  <LinksUpToDate>false</LinksUpToDate>
  <CharactersWithSpaces>1794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2022-07-07T06:27:00Z</dcterms:created>
  <dc:creator>李飞飞</dc:creator>
  <cp:lastModifiedBy>Administrator</cp:lastModifiedBy>
  <dcterms:modified xsi:type="dcterms:W3CDTF">2022-11-30T08:11:11Z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CA3E113DF5E8414DA036AF9193BE3EFC</vt:lpwstr>
  </property>
</Properties>
</file>