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楷体"/>
          <w:b/>
          <w:spacing w:val="20"/>
          <w:sz w:val="32"/>
          <w:szCs w:val="32"/>
        </w:rPr>
      </w:pPr>
    </w:p>
    <w:p>
      <w:pPr>
        <w:jc w:val="center"/>
        <w:rPr>
          <w:rFonts w:hint="eastAsia" w:eastAsia="楷体"/>
          <w:b/>
          <w:spacing w:val="20"/>
          <w:sz w:val="32"/>
          <w:szCs w:val="32"/>
        </w:rPr>
      </w:pPr>
    </w:p>
    <w:p>
      <w:pPr>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萧县交通投资有限责任公司</w:t>
      </w:r>
    </w:p>
    <w:p>
      <w:pPr>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2024年</w:t>
      </w:r>
      <w:r>
        <w:rPr>
          <w:rFonts w:hint="eastAsia" w:ascii="方正小标宋简体" w:hAnsi="方正小标宋简体" w:eastAsia="方正小标宋简体" w:cs="方正小标宋简体"/>
          <w:bCs/>
          <w:spacing w:val="20"/>
          <w:sz w:val="44"/>
          <w:szCs w:val="44"/>
          <w:lang w:val="en-US" w:eastAsia="zh-CN"/>
        </w:rPr>
        <w:t>非公开发行定向债务融资工具（PPN）</w:t>
      </w:r>
      <w:r>
        <w:rPr>
          <w:rFonts w:hint="eastAsia" w:ascii="方正小标宋简体" w:hAnsi="方正小标宋简体" w:eastAsia="方正小标宋简体" w:cs="方正小标宋简体"/>
          <w:bCs/>
          <w:spacing w:val="20"/>
          <w:sz w:val="44"/>
          <w:szCs w:val="44"/>
        </w:rPr>
        <w:t>主承销商</w:t>
      </w:r>
    </w:p>
    <w:p>
      <w:pPr>
        <w:spacing w:after="312" w:afterLines="100" w:line="360" w:lineRule="auto"/>
        <w:jc w:val="center"/>
        <w:rPr>
          <w:rFonts w:hint="eastAsia" w:eastAsia="楷体"/>
          <w:b/>
          <w:spacing w:val="20"/>
          <w:sz w:val="32"/>
          <w:szCs w:val="32"/>
        </w:rPr>
      </w:pPr>
    </w:p>
    <w:p>
      <w:pPr>
        <w:spacing w:after="312" w:afterLines="100" w:line="360" w:lineRule="auto"/>
        <w:jc w:val="center"/>
        <w:rPr>
          <w:rFonts w:hint="eastAsia" w:eastAsia="楷体"/>
          <w:b/>
          <w:spacing w:val="20"/>
          <w:sz w:val="32"/>
          <w:szCs w:val="32"/>
        </w:rPr>
      </w:pPr>
    </w:p>
    <w:p>
      <w:pPr>
        <w:spacing w:after="312" w:afterLines="100" w:line="360" w:lineRule="auto"/>
        <w:jc w:val="center"/>
        <w:rPr>
          <w:rFonts w:hint="eastAsia" w:ascii="方正小标宋简体" w:hAnsi="方正小标宋简体" w:eastAsia="方正小标宋简体" w:cs="方正小标宋简体"/>
          <w:bCs/>
          <w:spacing w:val="20"/>
          <w:sz w:val="40"/>
          <w:szCs w:val="40"/>
        </w:rPr>
      </w:pPr>
      <w:r>
        <w:rPr>
          <w:rFonts w:hint="eastAsia" w:ascii="方正小标宋简体" w:hAnsi="方正小标宋简体" w:eastAsia="方正小标宋简体" w:cs="方正小标宋简体"/>
          <w:bCs/>
          <w:spacing w:val="20"/>
          <w:sz w:val="40"/>
          <w:szCs w:val="40"/>
        </w:rPr>
        <w:t>评选工作方案</w:t>
      </w:r>
    </w:p>
    <w:p>
      <w:pPr>
        <w:spacing w:after="312" w:afterLines="100" w:line="360" w:lineRule="auto"/>
        <w:jc w:val="center"/>
        <w:rPr>
          <w:rFonts w:hint="eastAsia" w:eastAsia="楷体"/>
          <w:b/>
          <w:spacing w:val="20"/>
          <w:sz w:val="44"/>
          <w:szCs w:val="44"/>
        </w:rPr>
      </w:pPr>
    </w:p>
    <w:p>
      <w:pPr>
        <w:spacing w:after="312" w:afterLines="100" w:line="360" w:lineRule="auto"/>
        <w:jc w:val="center"/>
        <w:rPr>
          <w:rFonts w:hint="eastAsia" w:eastAsia="楷体"/>
          <w:spacing w:val="20"/>
          <w:sz w:val="24"/>
        </w:rPr>
      </w:pPr>
    </w:p>
    <w:p>
      <w:pPr>
        <w:spacing w:after="312" w:afterLines="100" w:line="360" w:lineRule="auto"/>
        <w:jc w:val="center"/>
        <w:rPr>
          <w:rFonts w:hint="eastAsia" w:eastAsia="楷体"/>
          <w:b/>
          <w:spacing w:val="20"/>
          <w:sz w:val="44"/>
          <w:szCs w:val="44"/>
        </w:rPr>
      </w:pPr>
    </w:p>
    <w:p>
      <w:pPr>
        <w:spacing w:after="312" w:afterLines="100" w:line="360" w:lineRule="auto"/>
        <w:jc w:val="center"/>
        <w:rPr>
          <w:rFonts w:hint="eastAsia" w:eastAsia="楷体"/>
          <w:b/>
          <w:spacing w:val="20"/>
          <w:sz w:val="44"/>
          <w:szCs w:val="44"/>
        </w:rPr>
      </w:pPr>
    </w:p>
    <w:p>
      <w:pPr>
        <w:spacing w:after="312" w:afterLines="100" w:line="360" w:lineRule="auto"/>
        <w:jc w:val="center"/>
        <w:rPr>
          <w:rFonts w:hint="eastAsia" w:eastAsia="楷体"/>
          <w:b/>
          <w:spacing w:val="20"/>
          <w:sz w:val="44"/>
          <w:szCs w:val="44"/>
        </w:rPr>
      </w:pPr>
    </w:p>
    <w:p>
      <w:pPr>
        <w:spacing w:after="312" w:afterLines="100" w:line="360" w:lineRule="auto"/>
        <w:jc w:val="center"/>
        <w:rPr>
          <w:rFonts w:hint="eastAsia" w:ascii="方正小标宋简体" w:hAnsi="方正小标宋简体" w:eastAsia="方正小标宋简体" w:cs="方正小标宋简体"/>
          <w:bCs/>
          <w:spacing w:val="20"/>
          <w:sz w:val="32"/>
          <w:szCs w:val="32"/>
        </w:rPr>
      </w:pPr>
      <w:r>
        <w:rPr>
          <w:rFonts w:hint="eastAsia" w:ascii="方正小标宋简体" w:hAnsi="方正小标宋简体" w:eastAsia="方正小标宋简体" w:cs="方正小标宋简体"/>
          <w:bCs/>
          <w:spacing w:val="20"/>
          <w:sz w:val="32"/>
          <w:szCs w:val="32"/>
        </w:rPr>
        <w:t>发行人：萧县交通投资有限责任公司</w:t>
      </w:r>
    </w:p>
    <w:p>
      <w:pPr>
        <w:spacing w:after="312" w:afterLines="100" w:line="360" w:lineRule="auto"/>
        <w:jc w:val="center"/>
        <w:rPr>
          <w:rFonts w:hint="eastAsia" w:ascii="黑体" w:hAnsi="黑体" w:eastAsia="黑体" w:cs="黑体"/>
          <w:bCs/>
          <w:spacing w:val="20"/>
          <w:sz w:val="44"/>
          <w:szCs w:val="44"/>
        </w:rPr>
      </w:pPr>
      <w:r>
        <w:rPr>
          <w:rFonts w:hint="eastAsia" w:ascii="方正小标宋简体" w:hAnsi="方正小标宋简体" w:eastAsia="方正小标宋简体" w:cs="方正小标宋简体"/>
          <w:bCs/>
          <w:spacing w:val="20"/>
          <w:sz w:val="32"/>
          <w:szCs w:val="32"/>
        </w:rPr>
        <w:t>202</w:t>
      </w:r>
      <w:r>
        <w:rPr>
          <w:rFonts w:ascii="方正小标宋简体" w:hAnsi="方正小标宋简体" w:eastAsia="方正小标宋简体" w:cs="方正小标宋简体"/>
          <w:bCs/>
          <w:spacing w:val="20"/>
          <w:sz w:val="32"/>
          <w:szCs w:val="32"/>
        </w:rPr>
        <w:t>4</w:t>
      </w:r>
      <w:r>
        <w:rPr>
          <w:rFonts w:hint="eastAsia" w:ascii="方正小标宋简体" w:hAnsi="方正小标宋简体" w:eastAsia="方正小标宋简体" w:cs="方正小标宋简体"/>
          <w:bCs/>
          <w:spacing w:val="20"/>
          <w:sz w:val="32"/>
          <w:szCs w:val="32"/>
        </w:rPr>
        <w:t>年</w:t>
      </w:r>
      <w:r>
        <w:rPr>
          <w:rFonts w:ascii="方正小标宋简体" w:hAnsi="方正小标宋简体" w:eastAsia="方正小标宋简体" w:cs="方正小标宋简体"/>
          <w:bCs/>
          <w:spacing w:val="20"/>
          <w:sz w:val="32"/>
          <w:szCs w:val="32"/>
        </w:rPr>
        <w:t>1</w:t>
      </w:r>
      <w:r>
        <w:rPr>
          <w:rFonts w:hint="eastAsia" w:ascii="方正小标宋简体" w:hAnsi="方正小标宋简体" w:eastAsia="方正小标宋简体" w:cs="方正小标宋简体"/>
          <w:bCs/>
          <w:spacing w:val="20"/>
          <w:sz w:val="32"/>
          <w:szCs w:val="32"/>
        </w:rPr>
        <w:t>月</w:t>
      </w:r>
      <w:r>
        <w:rPr>
          <w:rFonts w:hint="eastAsia" w:ascii="方正小标宋简体" w:hAnsi="方正小标宋简体" w:eastAsia="方正小标宋简体" w:cs="方正小标宋简体"/>
          <w:bCs/>
          <w:spacing w:val="20"/>
          <w:sz w:val="32"/>
          <w:szCs w:val="32"/>
        </w:rPr>
        <w:br w:type="page"/>
      </w:r>
      <w:r>
        <w:rPr>
          <w:rFonts w:hint="eastAsia" w:ascii="黑体" w:hAnsi="黑体" w:eastAsia="黑体" w:cs="黑体"/>
          <w:bCs/>
          <w:spacing w:val="20"/>
          <w:sz w:val="44"/>
          <w:szCs w:val="44"/>
        </w:rPr>
        <w:t>目  录</w:t>
      </w:r>
    </w:p>
    <w:p>
      <w:pPr>
        <w:pStyle w:val="14"/>
        <w:tabs>
          <w:tab w:val="right" w:leader="dot" w:pos="8312"/>
        </w:tabs>
        <w:rPr>
          <w:sz w:val="28"/>
          <w:szCs w:val="36"/>
        </w:rPr>
      </w:pPr>
      <w:r>
        <w:rPr>
          <w:rFonts w:hint="eastAsia" w:ascii="黑体" w:hAnsi="黑体" w:eastAsia="黑体" w:cs="黑体"/>
          <w:spacing w:val="20"/>
          <w:sz w:val="40"/>
          <w:szCs w:val="40"/>
        </w:rPr>
        <w:fldChar w:fldCharType="begin"/>
      </w:r>
      <w:r>
        <w:rPr>
          <w:rFonts w:hint="eastAsia" w:ascii="黑体" w:hAnsi="黑体" w:eastAsia="黑体" w:cs="黑体"/>
          <w:spacing w:val="20"/>
          <w:sz w:val="40"/>
          <w:szCs w:val="40"/>
        </w:rPr>
        <w:instrText xml:space="preserve"> TOC \o "1-3" \h \z \u </w:instrText>
      </w:r>
      <w:r>
        <w:rPr>
          <w:rFonts w:hint="eastAsia" w:ascii="黑体" w:hAnsi="黑体" w:eastAsia="黑体" w:cs="黑体"/>
          <w:spacing w:val="20"/>
          <w:sz w:val="40"/>
          <w:szCs w:val="40"/>
        </w:rPr>
        <w:fldChar w:fldCharType="separate"/>
      </w: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_Toc18722 </w:instrText>
      </w:r>
      <w:r>
        <w:rPr>
          <w:rFonts w:hint="eastAsia" w:ascii="黑体" w:hAnsi="黑体" w:eastAsia="黑体" w:cs="黑体"/>
          <w:spacing w:val="20"/>
          <w:sz w:val="28"/>
          <w:szCs w:val="40"/>
        </w:rPr>
        <w:fldChar w:fldCharType="separate"/>
      </w:r>
      <w:r>
        <w:rPr>
          <w:rFonts w:hint="eastAsia" w:eastAsia="楷体"/>
          <w:sz w:val="28"/>
          <w:szCs w:val="40"/>
        </w:rPr>
        <w:t>评选工作目标</w:t>
      </w:r>
      <w:bookmarkStart w:id="0" w:name="_Hlt35950532"/>
      <w:bookmarkStart w:id="1" w:name="_Hlt35950533"/>
      <w:r>
        <w:rPr>
          <w:rFonts w:hint="eastAsia" w:eastAsia="楷体"/>
          <w:sz w:val="28"/>
          <w:szCs w:val="40"/>
        </w:rPr>
        <w:t>说</w:t>
      </w:r>
      <w:bookmarkEnd w:id="0"/>
      <w:bookmarkEnd w:id="1"/>
      <w:r>
        <w:rPr>
          <w:rFonts w:hint="eastAsia" w:eastAsia="楷体"/>
          <w:sz w:val="28"/>
          <w:szCs w:val="40"/>
        </w:rPr>
        <w:t>明</w:t>
      </w:r>
      <w:r>
        <w:rPr>
          <w:sz w:val="28"/>
          <w:szCs w:val="36"/>
        </w:rPr>
        <w:tab/>
      </w:r>
      <w:r>
        <w:rPr>
          <w:sz w:val="28"/>
          <w:szCs w:val="36"/>
        </w:rPr>
        <w:fldChar w:fldCharType="begin"/>
      </w:r>
      <w:r>
        <w:rPr>
          <w:sz w:val="28"/>
          <w:szCs w:val="36"/>
        </w:rPr>
        <w:instrText xml:space="preserve"> PAGEREF _Toc18722 </w:instrText>
      </w:r>
      <w:r>
        <w:rPr>
          <w:sz w:val="28"/>
          <w:szCs w:val="36"/>
        </w:rPr>
        <w:fldChar w:fldCharType="separate"/>
      </w:r>
      <w:r>
        <w:rPr>
          <w:sz w:val="28"/>
          <w:szCs w:val="36"/>
        </w:rPr>
        <w:t>2</w:t>
      </w:r>
      <w:r>
        <w:rPr>
          <w:sz w:val="28"/>
          <w:szCs w:val="36"/>
        </w:rPr>
        <w:fldChar w:fldCharType="end"/>
      </w:r>
      <w:r>
        <w:rPr>
          <w:rFonts w:hint="eastAsia" w:ascii="黑体" w:hAnsi="黑体" w:eastAsia="黑体" w:cs="黑体"/>
          <w:spacing w:val="20"/>
          <w:sz w:val="28"/>
          <w:szCs w:val="40"/>
        </w:rPr>
        <w:fldChar w:fldCharType="end"/>
      </w:r>
    </w:p>
    <w:p>
      <w:pPr>
        <w:pStyle w:val="14"/>
        <w:tabs>
          <w:tab w:val="right" w:leader="dot" w:pos="8312"/>
        </w:tabs>
        <w:rPr>
          <w:sz w:val="28"/>
          <w:szCs w:val="36"/>
        </w:rPr>
      </w:pP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_Toc10761 </w:instrText>
      </w:r>
      <w:r>
        <w:rPr>
          <w:rFonts w:hint="eastAsia" w:ascii="黑体" w:hAnsi="黑体" w:eastAsia="黑体" w:cs="黑体"/>
          <w:spacing w:val="20"/>
          <w:sz w:val="28"/>
          <w:szCs w:val="40"/>
        </w:rPr>
        <w:fldChar w:fldCharType="separate"/>
      </w:r>
      <w:r>
        <w:rPr>
          <w:rFonts w:hint="eastAsia" w:eastAsia="楷体"/>
          <w:sz w:val="28"/>
          <w:szCs w:val="44"/>
        </w:rPr>
        <w:t>第一章</w:t>
      </w:r>
      <w:bookmarkStart w:id="2" w:name="_Hlt35950534"/>
      <w:r>
        <w:rPr>
          <w:rFonts w:hint="eastAsia" w:eastAsia="楷体"/>
          <w:sz w:val="28"/>
          <w:szCs w:val="44"/>
        </w:rPr>
        <w:t xml:space="preserve"> </w:t>
      </w:r>
      <w:bookmarkEnd w:id="2"/>
      <w:r>
        <w:rPr>
          <w:rFonts w:hint="eastAsia" w:eastAsia="楷体"/>
          <w:sz w:val="28"/>
          <w:szCs w:val="44"/>
        </w:rPr>
        <w:t xml:space="preserve"> 评选事项说明</w:t>
      </w:r>
      <w:r>
        <w:rPr>
          <w:sz w:val="28"/>
          <w:szCs w:val="36"/>
        </w:rPr>
        <w:tab/>
      </w:r>
      <w:r>
        <w:rPr>
          <w:sz w:val="28"/>
          <w:szCs w:val="36"/>
        </w:rPr>
        <w:fldChar w:fldCharType="begin"/>
      </w:r>
      <w:r>
        <w:rPr>
          <w:sz w:val="28"/>
          <w:szCs w:val="36"/>
        </w:rPr>
        <w:instrText xml:space="preserve"> PAGEREF _Toc10761 </w:instrText>
      </w:r>
      <w:r>
        <w:rPr>
          <w:sz w:val="28"/>
          <w:szCs w:val="36"/>
        </w:rPr>
        <w:fldChar w:fldCharType="separate"/>
      </w:r>
      <w:r>
        <w:rPr>
          <w:sz w:val="28"/>
          <w:szCs w:val="36"/>
        </w:rPr>
        <w:t>3</w:t>
      </w:r>
      <w:r>
        <w:rPr>
          <w:sz w:val="28"/>
          <w:szCs w:val="36"/>
        </w:rPr>
        <w:fldChar w:fldCharType="end"/>
      </w:r>
      <w:r>
        <w:rPr>
          <w:rFonts w:hint="eastAsia" w:ascii="黑体" w:hAnsi="黑体" w:eastAsia="黑体" w:cs="黑体"/>
          <w:spacing w:val="20"/>
          <w:sz w:val="28"/>
          <w:szCs w:val="40"/>
        </w:rPr>
        <w:fldChar w:fldCharType="end"/>
      </w:r>
    </w:p>
    <w:p>
      <w:pPr>
        <w:pStyle w:val="14"/>
        <w:tabs>
          <w:tab w:val="right" w:leader="dot" w:pos="8312"/>
        </w:tabs>
        <w:rPr>
          <w:sz w:val="28"/>
          <w:szCs w:val="36"/>
        </w:rPr>
      </w:pP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_Toc2462 </w:instrText>
      </w:r>
      <w:r>
        <w:rPr>
          <w:rFonts w:hint="eastAsia" w:ascii="黑体" w:hAnsi="黑体" w:eastAsia="黑体" w:cs="黑体"/>
          <w:spacing w:val="20"/>
          <w:sz w:val="28"/>
          <w:szCs w:val="40"/>
        </w:rPr>
        <w:fldChar w:fldCharType="separate"/>
      </w:r>
      <w:r>
        <w:rPr>
          <w:rFonts w:hint="eastAsia" w:eastAsia="楷体"/>
          <w:sz w:val="28"/>
          <w:szCs w:val="44"/>
        </w:rPr>
        <w:t xml:space="preserve">第二章  </w:t>
      </w:r>
      <w:bookmarkStart w:id="3" w:name="_Hlt35950539"/>
      <w:r>
        <w:rPr>
          <w:rFonts w:hint="eastAsia" w:eastAsia="楷体"/>
          <w:sz w:val="28"/>
          <w:szCs w:val="44"/>
        </w:rPr>
        <w:t>评</w:t>
      </w:r>
      <w:bookmarkEnd w:id="3"/>
      <w:r>
        <w:rPr>
          <w:rFonts w:hint="eastAsia" w:eastAsia="楷体"/>
          <w:sz w:val="28"/>
          <w:szCs w:val="44"/>
        </w:rPr>
        <w:t>选工作流程</w:t>
      </w:r>
      <w:r>
        <w:rPr>
          <w:sz w:val="28"/>
          <w:szCs w:val="36"/>
        </w:rPr>
        <w:tab/>
      </w:r>
      <w:r>
        <w:rPr>
          <w:sz w:val="28"/>
          <w:szCs w:val="36"/>
        </w:rPr>
        <w:fldChar w:fldCharType="begin"/>
      </w:r>
      <w:r>
        <w:rPr>
          <w:sz w:val="28"/>
          <w:szCs w:val="36"/>
        </w:rPr>
        <w:instrText xml:space="preserve"> PAGEREF _Toc2462 </w:instrText>
      </w:r>
      <w:r>
        <w:rPr>
          <w:sz w:val="28"/>
          <w:szCs w:val="36"/>
        </w:rPr>
        <w:fldChar w:fldCharType="separate"/>
      </w:r>
      <w:r>
        <w:rPr>
          <w:sz w:val="28"/>
          <w:szCs w:val="36"/>
        </w:rPr>
        <w:t>5</w:t>
      </w:r>
      <w:r>
        <w:rPr>
          <w:sz w:val="28"/>
          <w:szCs w:val="36"/>
        </w:rPr>
        <w:fldChar w:fldCharType="end"/>
      </w:r>
      <w:r>
        <w:rPr>
          <w:rFonts w:hint="eastAsia" w:ascii="黑体" w:hAnsi="黑体" w:eastAsia="黑体" w:cs="黑体"/>
          <w:spacing w:val="20"/>
          <w:sz w:val="28"/>
          <w:szCs w:val="40"/>
        </w:rPr>
        <w:fldChar w:fldCharType="end"/>
      </w:r>
    </w:p>
    <w:p>
      <w:pPr>
        <w:pStyle w:val="14"/>
        <w:tabs>
          <w:tab w:val="right" w:leader="dot" w:pos="8312"/>
        </w:tabs>
        <w:rPr>
          <w:sz w:val="28"/>
          <w:szCs w:val="36"/>
        </w:rPr>
      </w:pP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_Toc27180 </w:instrText>
      </w:r>
      <w:r>
        <w:rPr>
          <w:rFonts w:hint="eastAsia" w:ascii="黑体" w:hAnsi="黑体" w:eastAsia="黑体" w:cs="黑体"/>
          <w:spacing w:val="20"/>
          <w:sz w:val="28"/>
          <w:szCs w:val="40"/>
        </w:rPr>
        <w:fldChar w:fldCharType="separate"/>
      </w:r>
      <w:r>
        <w:rPr>
          <w:rFonts w:hint="eastAsia" w:eastAsia="楷体"/>
          <w:sz w:val="28"/>
          <w:szCs w:val="44"/>
        </w:rPr>
        <w:t>第三章  评审专家</w:t>
      </w:r>
      <w:bookmarkStart w:id="4" w:name="_Hlt35950545"/>
      <w:r>
        <w:rPr>
          <w:rFonts w:hint="eastAsia" w:eastAsia="楷体"/>
          <w:sz w:val="28"/>
          <w:szCs w:val="44"/>
        </w:rPr>
        <w:t>组</w:t>
      </w:r>
      <w:bookmarkEnd w:id="4"/>
      <w:r>
        <w:rPr>
          <w:rFonts w:hint="eastAsia" w:eastAsia="楷体"/>
          <w:sz w:val="28"/>
          <w:szCs w:val="44"/>
        </w:rPr>
        <w:t>与评选规则</w:t>
      </w:r>
      <w:r>
        <w:rPr>
          <w:sz w:val="28"/>
          <w:szCs w:val="36"/>
        </w:rPr>
        <w:tab/>
      </w:r>
      <w:r>
        <w:rPr>
          <w:sz w:val="28"/>
          <w:szCs w:val="36"/>
        </w:rPr>
        <w:fldChar w:fldCharType="begin"/>
      </w:r>
      <w:r>
        <w:rPr>
          <w:sz w:val="28"/>
          <w:szCs w:val="36"/>
        </w:rPr>
        <w:instrText xml:space="preserve"> PAGEREF _Toc27180 </w:instrText>
      </w:r>
      <w:r>
        <w:rPr>
          <w:sz w:val="28"/>
          <w:szCs w:val="36"/>
        </w:rPr>
        <w:fldChar w:fldCharType="separate"/>
      </w:r>
      <w:r>
        <w:rPr>
          <w:sz w:val="28"/>
          <w:szCs w:val="36"/>
        </w:rPr>
        <w:t>6</w:t>
      </w:r>
      <w:r>
        <w:rPr>
          <w:sz w:val="28"/>
          <w:szCs w:val="36"/>
        </w:rPr>
        <w:fldChar w:fldCharType="end"/>
      </w:r>
      <w:r>
        <w:rPr>
          <w:rFonts w:hint="eastAsia" w:ascii="黑体" w:hAnsi="黑体" w:eastAsia="黑体" w:cs="黑体"/>
          <w:spacing w:val="20"/>
          <w:sz w:val="28"/>
          <w:szCs w:val="40"/>
        </w:rPr>
        <w:fldChar w:fldCharType="end"/>
      </w:r>
    </w:p>
    <w:p>
      <w:pPr>
        <w:pStyle w:val="14"/>
        <w:tabs>
          <w:tab w:val="right" w:leader="dot" w:pos="8312"/>
        </w:tabs>
        <w:rPr>
          <w:sz w:val="28"/>
          <w:szCs w:val="36"/>
        </w:rPr>
      </w:pP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_Toc30732 </w:instrText>
      </w:r>
      <w:r>
        <w:rPr>
          <w:rFonts w:hint="eastAsia" w:ascii="黑体" w:hAnsi="黑体" w:eastAsia="黑体" w:cs="黑体"/>
          <w:spacing w:val="20"/>
          <w:sz w:val="28"/>
          <w:szCs w:val="40"/>
        </w:rPr>
        <w:fldChar w:fldCharType="separate"/>
      </w:r>
      <w:r>
        <w:rPr>
          <w:rFonts w:hint="eastAsia" w:eastAsia="楷体"/>
          <w:sz w:val="28"/>
          <w:szCs w:val="44"/>
        </w:rPr>
        <w:t>第四章  评审标准</w:t>
      </w:r>
      <w:bookmarkStart w:id="5" w:name="_Hlt35950553"/>
      <w:r>
        <w:rPr>
          <w:sz w:val="28"/>
          <w:szCs w:val="36"/>
        </w:rPr>
        <w:tab/>
      </w:r>
      <w:bookmarkEnd w:id="5"/>
      <w:r>
        <w:rPr>
          <w:sz w:val="28"/>
          <w:szCs w:val="36"/>
        </w:rPr>
        <w:fldChar w:fldCharType="begin"/>
      </w:r>
      <w:r>
        <w:rPr>
          <w:sz w:val="28"/>
          <w:szCs w:val="36"/>
        </w:rPr>
        <w:instrText xml:space="preserve"> PAGEREF _Toc30732 </w:instrText>
      </w:r>
      <w:r>
        <w:rPr>
          <w:sz w:val="28"/>
          <w:szCs w:val="36"/>
        </w:rPr>
        <w:fldChar w:fldCharType="separate"/>
      </w:r>
      <w:r>
        <w:rPr>
          <w:sz w:val="28"/>
          <w:szCs w:val="36"/>
        </w:rPr>
        <w:t>7</w:t>
      </w:r>
      <w:r>
        <w:rPr>
          <w:sz w:val="28"/>
          <w:szCs w:val="36"/>
        </w:rPr>
        <w:fldChar w:fldCharType="end"/>
      </w:r>
      <w:r>
        <w:rPr>
          <w:rFonts w:hint="eastAsia" w:ascii="黑体" w:hAnsi="黑体" w:eastAsia="黑体" w:cs="黑体"/>
          <w:spacing w:val="20"/>
          <w:sz w:val="28"/>
          <w:szCs w:val="40"/>
        </w:rPr>
        <w:fldChar w:fldCharType="end"/>
      </w:r>
    </w:p>
    <w:p>
      <w:pPr>
        <w:pStyle w:val="14"/>
        <w:tabs>
          <w:tab w:val="right" w:leader="dot" w:pos="8312"/>
        </w:tabs>
        <w:rPr>
          <w:sz w:val="28"/>
          <w:szCs w:val="36"/>
        </w:rPr>
      </w:pP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_Toc30590 </w:instrText>
      </w:r>
      <w:r>
        <w:rPr>
          <w:rFonts w:hint="eastAsia" w:ascii="黑体" w:hAnsi="黑体" w:eastAsia="黑体" w:cs="黑体"/>
          <w:spacing w:val="20"/>
          <w:sz w:val="28"/>
          <w:szCs w:val="40"/>
        </w:rPr>
        <w:fldChar w:fldCharType="separate"/>
      </w:r>
      <w:r>
        <w:rPr>
          <w:rFonts w:hint="eastAsia" w:eastAsia="楷体"/>
          <w:sz w:val="28"/>
          <w:szCs w:val="44"/>
        </w:rPr>
        <w:t>第五章  参选公</w:t>
      </w:r>
      <w:bookmarkStart w:id="6" w:name="_Hlt35950560"/>
      <w:r>
        <w:rPr>
          <w:rFonts w:hint="eastAsia" w:eastAsia="楷体"/>
          <w:sz w:val="28"/>
          <w:szCs w:val="44"/>
        </w:rPr>
        <w:t>司</w:t>
      </w:r>
      <w:bookmarkEnd w:id="6"/>
      <w:r>
        <w:rPr>
          <w:rFonts w:hint="eastAsia" w:eastAsia="楷体"/>
          <w:sz w:val="28"/>
          <w:szCs w:val="44"/>
        </w:rPr>
        <w:t>需提交的资料</w:t>
      </w:r>
      <w:r>
        <w:rPr>
          <w:sz w:val="28"/>
          <w:szCs w:val="36"/>
        </w:rPr>
        <w:tab/>
      </w:r>
      <w:r>
        <w:rPr>
          <w:sz w:val="28"/>
          <w:szCs w:val="36"/>
        </w:rPr>
        <w:fldChar w:fldCharType="begin"/>
      </w:r>
      <w:r>
        <w:rPr>
          <w:sz w:val="28"/>
          <w:szCs w:val="36"/>
        </w:rPr>
        <w:instrText xml:space="preserve"> PAGEREF _Toc30590 </w:instrText>
      </w:r>
      <w:r>
        <w:rPr>
          <w:sz w:val="28"/>
          <w:szCs w:val="36"/>
        </w:rPr>
        <w:fldChar w:fldCharType="separate"/>
      </w:r>
      <w:r>
        <w:rPr>
          <w:sz w:val="28"/>
          <w:szCs w:val="36"/>
        </w:rPr>
        <w:t>10</w:t>
      </w:r>
      <w:r>
        <w:rPr>
          <w:sz w:val="28"/>
          <w:szCs w:val="36"/>
        </w:rPr>
        <w:fldChar w:fldCharType="end"/>
      </w:r>
      <w:r>
        <w:rPr>
          <w:rFonts w:hint="eastAsia" w:ascii="黑体" w:hAnsi="黑体" w:eastAsia="黑体" w:cs="黑体"/>
          <w:spacing w:val="20"/>
          <w:sz w:val="28"/>
          <w:szCs w:val="40"/>
        </w:rPr>
        <w:fldChar w:fldCharType="end"/>
      </w:r>
    </w:p>
    <w:p>
      <w:pPr>
        <w:pStyle w:val="14"/>
        <w:tabs>
          <w:tab w:val="right" w:leader="dot" w:pos="8312"/>
        </w:tabs>
        <w:rPr>
          <w:sz w:val="28"/>
          <w:szCs w:val="36"/>
        </w:rPr>
      </w:pPr>
      <w:r>
        <w:rPr>
          <w:rFonts w:hint="eastAsia" w:ascii="黑体" w:hAnsi="黑体" w:eastAsia="黑体" w:cs="黑体"/>
          <w:spacing w:val="20"/>
          <w:sz w:val="28"/>
          <w:szCs w:val="40"/>
        </w:rPr>
        <w:fldChar w:fldCharType="begin"/>
      </w:r>
      <w:r>
        <w:rPr>
          <w:rFonts w:hint="eastAsia" w:ascii="黑体" w:hAnsi="黑体" w:eastAsia="黑体" w:cs="黑体"/>
          <w:spacing w:val="20"/>
          <w:sz w:val="28"/>
          <w:szCs w:val="40"/>
        </w:rPr>
        <w:instrText xml:space="preserve"> HYPERLINK \l _Toc5859 </w:instrText>
      </w:r>
      <w:r>
        <w:rPr>
          <w:rFonts w:hint="eastAsia" w:ascii="黑体" w:hAnsi="黑体" w:eastAsia="黑体" w:cs="黑体"/>
          <w:spacing w:val="20"/>
          <w:sz w:val="28"/>
          <w:szCs w:val="40"/>
        </w:rPr>
        <w:fldChar w:fldCharType="separate"/>
      </w:r>
      <w:r>
        <w:rPr>
          <w:rFonts w:hint="eastAsia" w:eastAsia="楷体"/>
          <w:sz w:val="28"/>
          <w:szCs w:val="44"/>
        </w:rPr>
        <w:t>参选</w:t>
      </w:r>
      <w:bookmarkStart w:id="7" w:name="_Hlt35950564"/>
      <w:r>
        <w:rPr>
          <w:rFonts w:hint="eastAsia" w:eastAsia="楷体"/>
          <w:sz w:val="28"/>
          <w:szCs w:val="44"/>
        </w:rPr>
        <w:t>注</w:t>
      </w:r>
      <w:bookmarkEnd w:id="7"/>
      <w:r>
        <w:rPr>
          <w:rFonts w:hint="eastAsia" w:eastAsia="楷体"/>
          <w:sz w:val="28"/>
          <w:szCs w:val="44"/>
        </w:rPr>
        <w:t>意事项</w:t>
      </w:r>
      <w:bookmarkStart w:id="8" w:name="_Hlt156856002"/>
      <w:bookmarkStart w:id="9" w:name="_Hlt156856003"/>
      <w:r>
        <w:rPr>
          <w:sz w:val="28"/>
          <w:szCs w:val="36"/>
        </w:rPr>
        <w:tab/>
      </w:r>
      <w:bookmarkEnd w:id="8"/>
      <w:bookmarkEnd w:id="9"/>
      <w:r>
        <w:rPr>
          <w:sz w:val="28"/>
          <w:szCs w:val="36"/>
        </w:rPr>
        <w:fldChar w:fldCharType="begin"/>
      </w:r>
      <w:r>
        <w:rPr>
          <w:sz w:val="28"/>
          <w:szCs w:val="36"/>
        </w:rPr>
        <w:instrText xml:space="preserve"> PAGEREF _Toc5859 </w:instrText>
      </w:r>
      <w:r>
        <w:rPr>
          <w:sz w:val="28"/>
          <w:szCs w:val="36"/>
        </w:rPr>
        <w:fldChar w:fldCharType="separate"/>
      </w:r>
      <w:r>
        <w:rPr>
          <w:sz w:val="28"/>
          <w:szCs w:val="36"/>
        </w:rPr>
        <w:t>25</w:t>
      </w:r>
      <w:r>
        <w:rPr>
          <w:sz w:val="28"/>
          <w:szCs w:val="36"/>
        </w:rPr>
        <w:fldChar w:fldCharType="end"/>
      </w:r>
      <w:r>
        <w:rPr>
          <w:rFonts w:hint="eastAsia" w:ascii="黑体" w:hAnsi="黑体" w:eastAsia="黑体" w:cs="黑体"/>
          <w:spacing w:val="20"/>
          <w:sz w:val="28"/>
          <w:szCs w:val="40"/>
        </w:rPr>
        <w:fldChar w:fldCharType="end"/>
      </w:r>
    </w:p>
    <w:p>
      <w:pPr>
        <w:spacing w:before="156" w:beforeLines="50" w:after="156" w:afterLines="50" w:line="360" w:lineRule="auto"/>
        <w:rPr>
          <w:rFonts w:hint="eastAsia" w:eastAsia="楷体"/>
          <w:spacing w:val="20"/>
          <w:sz w:val="28"/>
          <w:szCs w:val="28"/>
        </w:rPr>
      </w:pPr>
      <w:r>
        <w:rPr>
          <w:rFonts w:hint="eastAsia" w:ascii="黑体" w:hAnsi="黑体" w:eastAsia="黑体" w:cs="黑体"/>
          <w:spacing w:val="20"/>
          <w:sz w:val="28"/>
          <w:szCs w:val="40"/>
        </w:rPr>
        <w:fldChar w:fldCharType="end"/>
      </w:r>
    </w:p>
    <w:p>
      <w:pPr>
        <w:pStyle w:val="4"/>
        <w:jc w:val="center"/>
        <w:rPr>
          <w:rFonts w:hint="eastAsia" w:ascii="黑体" w:hAnsi="黑体" w:eastAsia="黑体" w:cs="黑体"/>
          <w:b w:val="0"/>
          <w:bCs w:val="0"/>
          <w:sz w:val="32"/>
          <w:szCs w:val="32"/>
        </w:rPr>
      </w:pPr>
      <w:r>
        <w:rPr>
          <w:rFonts w:hint="eastAsia" w:eastAsia="楷体"/>
          <w:sz w:val="30"/>
          <w:szCs w:val="30"/>
        </w:rPr>
        <w:br w:type="page"/>
      </w:r>
      <w:bookmarkStart w:id="10" w:name="_Toc18722"/>
      <w:r>
        <w:rPr>
          <w:rFonts w:hint="eastAsia" w:ascii="黑体" w:hAnsi="黑体" w:eastAsia="黑体" w:cs="黑体"/>
          <w:b w:val="0"/>
          <w:bCs w:val="0"/>
          <w:sz w:val="30"/>
          <w:szCs w:val="30"/>
        </w:rPr>
        <w:t>评选工作目标说明</w:t>
      </w:r>
      <w:bookmarkEnd w:id="10"/>
    </w:p>
    <w:p>
      <w:pPr>
        <w:pStyle w:val="25"/>
        <w:spacing w:before="312" w:beforeLines="100" w:line="360" w:lineRule="auto"/>
        <w:ind w:firstLine="560"/>
        <w:rPr>
          <w:rFonts w:hint="eastAsia" w:ascii="仿宋" w:hAnsi="仿宋" w:eastAsia="仿宋" w:cs="仿宋"/>
          <w:spacing w:val="20"/>
          <w:sz w:val="24"/>
        </w:rPr>
      </w:pPr>
      <w:r>
        <w:rPr>
          <w:rFonts w:hint="eastAsia" w:ascii="仿宋" w:hAnsi="仿宋" w:eastAsia="仿宋" w:cs="仿宋"/>
          <w:spacing w:val="20"/>
          <w:sz w:val="24"/>
        </w:rPr>
        <w:t>一、通过评审专家组客观、公正的评估、比较，确定萧县交通投资有限责任公司（以下简称“萧县交投”）</w:t>
      </w:r>
      <w:r>
        <w:rPr>
          <w:rFonts w:hint="eastAsia" w:ascii="仿宋" w:hAnsi="仿宋" w:eastAsia="仿宋" w:cs="仿宋"/>
          <w:spacing w:val="20"/>
          <w:sz w:val="24"/>
          <w:lang w:val="en-US" w:eastAsia="zh-CN"/>
        </w:rPr>
        <w:t>非公开发行定向债务融资工具（PPN）</w:t>
      </w:r>
      <w:r>
        <w:rPr>
          <w:rFonts w:hint="eastAsia" w:ascii="仿宋" w:hAnsi="仿宋" w:eastAsia="仿宋" w:cs="仿宋"/>
          <w:spacing w:val="20"/>
          <w:sz w:val="24"/>
        </w:rPr>
        <w:t>主承销商。萧县交投拟发行总额不</w:t>
      </w:r>
      <w:r>
        <w:rPr>
          <w:rFonts w:ascii="仿宋" w:hAnsi="仿宋" w:eastAsia="仿宋" w:cs="仿宋"/>
          <w:spacing w:val="20"/>
          <w:sz w:val="24"/>
        </w:rPr>
        <w:t>超过</w:t>
      </w:r>
      <w:r>
        <w:rPr>
          <w:rFonts w:hint="eastAsia" w:ascii="仿宋" w:hAnsi="仿宋" w:eastAsia="仿宋" w:cs="仿宋"/>
          <w:spacing w:val="20"/>
          <w:sz w:val="24"/>
          <w:lang w:val="en-US" w:eastAsia="zh-CN"/>
        </w:rPr>
        <w:t>10</w:t>
      </w:r>
      <w:r>
        <w:rPr>
          <w:rFonts w:hint="eastAsia" w:ascii="仿宋" w:hAnsi="仿宋" w:eastAsia="仿宋" w:cs="仿宋"/>
          <w:spacing w:val="20"/>
          <w:sz w:val="24"/>
        </w:rPr>
        <w:t>亿元</w:t>
      </w:r>
      <w:r>
        <w:rPr>
          <w:rFonts w:hint="eastAsia" w:ascii="仿宋" w:hAnsi="仿宋" w:eastAsia="仿宋" w:cs="仿宋"/>
          <w:spacing w:val="20"/>
          <w:sz w:val="24"/>
          <w:lang w:val="en-US" w:eastAsia="zh-CN"/>
        </w:rPr>
        <w:t>非公开定向债务融资工具（PPN）</w:t>
      </w:r>
      <w:r>
        <w:rPr>
          <w:rFonts w:hint="eastAsia" w:ascii="仿宋" w:hAnsi="仿宋" w:eastAsia="仿宋" w:cs="仿宋"/>
          <w:spacing w:val="20"/>
          <w:sz w:val="24"/>
        </w:rPr>
        <w:t>。</w:t>
      </w:r>
    </w:p>
    <w:p>
      <w:pPr>
        <w:pStyle w:val="25"/>
        <w:spacing w:before="312" w:beforeLines="100" w:line="360" w:lineRule="auto"/>
        <w:ind w:firstLine="560"/>
        <w:rPr>
          <w:rFonts w:hint="eastAsia" w:ascii="仿宋" w:hAnsi="仿宋" w:eastAsia="仿宋" w:cs="仿宋"/>
          <w:spacing w:val="20"/>
          <w:sz w:val="24"/>
        </w:rPr>
      </w:pPr>
      <w:r>
        <w:rPr>
          <w:rFonts w:hint="eastAsia" w:ascii="仿宋" w:hAnsi="仿宋" w:eastAsia="仿宋" w:cs="仿宋"/>
          <w:spacing w:val="20"/>
          <w:sz w:val="24"/>
        </w:rPr>
        <w:t>二、评选出的主承销商能够尽职尽责高效圆满地完成</w:t>
      </w:r>
      <w:r>
        <w:rPr>
          <w:rFonts w:hint="eastAsia" w:ascii="仿宋" w:hAnsi="仿宋" w:eastAsia="仿宋" w:cs="仿宋"/>
          <w:spacing w:val="20"/>
          <w:sz w:val="24"/>
          <w:lang w:eastAsia="zh-CN"/>
        </w:rPr>
        <w:t>非公开定向债务融资工具（PPN）</w:t>
      </w:r>
      <w:r>
        <w:rPr>
          <w:rFonts w:hint="eastAsia" w:ascii="仿宋" w:hAnsi="仿宋" w:eastAsia="仿宋" w:cs="仿宋"/>
          <w:spacing w:val="20"/>
          <w:sz w:val="24"/>
        </w:rPr>
        <w:t>的注册发行工作、组织完成承销工作，并协调配合萧县交投组织律师、审计和评级等中介机构完成</w:t>
      </w:r>
      <w:r>
        <w:rPr>
          <w:rFonts w:hint="eastAsia" w:ascii="仿宋" w:hAnsi="仿宋" w:eastAsia="仿宋" w:cs="仿宋"/>
          <w:spacing w:val="20"/>
          <w:sz w:val="24"/>
          <w:lang w:eastAsia="zh-CN"/>
        </w:rPr>
        <w:t>非公开定向债务融资工具（PPN）</w:t>
      </w:r>
      <w:r>
        <w:rPr>
          <w:rFonts w:hint="eastAsia" w:ascii="仿宋" w:hAnsi="仿宋" w:eastAsia="仿宋" w:cs="仿宋"/>
          <w:spacing w:val="20"/>
          <w:sz w:val="24"/>
        </w:rPr>
        <w:t>注册发行及后续管理工作等。</w:t>
      </w:r>
    </w:p>
    <w:p>
      <w:pPr>
        <w:pStyle w:val="25"/>
        <w:spacing w:before="312" w:beforeLines="100" w:line="360" w:lineRule="auto"/>
        <w:ind w:firstLine="560"/>
        <w:rPr>
          <w:rFonts w:hint="eastAsia" w:ascii="仿宋" w:hAnsi="仿宋" w:eastAsia="仿宋" w:cs="仿宋"/>
          <w:spacing w:val="20"/>
          <w:sz w:val="24"/>
        </w:rPr>
      </w:pPr>
      <w:r>
        <w:rPr>
          <w:rFonts w:hint="eastAsia" w:ascii="仿宋" w:hAnsi="仿宋" w:eastAsia="仿宋" w:cs="仿宋"/>
          <w:spacing w:val="20"/>
          <w:sz w:val="24"/>
        </w:rPr>
        <w:t>三、中标主承销商的工作能够使萧县交投在本次债券发行中利益最大化，投标说明书及其它纸质承诺必须与后期实际工作保持一致，并在承销协议中加以约定，否则承担违约责任。</w:t>
      </w:r>
    </w:p>
    <w:p>
      <w:pPr>
        <w:pStyle w:val="25"/>
        <w:spacing w:before="312" w:beforeLines="100" w:line="360" w:lineRule="auto"/>
        <w:ind w:firstLine="560"/>
        <w:rPr>
          <w:rFonts w:hint="eastAsia" w:ascii="仿宋" w:hAnsi="仿宋" w:eastAsia="仿宋" w:cs="仿宋"/>
          <w:spacing w:val="20"/>
          <w:sz w:val="24"/>
        </w:rPr>
      </w:pPr>
      <w:r>
        <w:rPr>
          <w:rFonts w:hint="eastAsia" w:ascii="仿宋" w:hAnsi="仿宋" w:eastAsia="仿宋" w:cs="仿宋"/>
          <w:spacing w:val="20"/>
          <w:sz w:val="24"/>
        </w:rPr>
        <w:t>四、评选中侧重点为考量主承销商的综合金融服务、债券承销业绩、发行方案策划以及综合成本等方面。</w:t>
      </w:r>
    </w:p>
    <w:p>
      <w:pPr>
        <w:pStyle w:val="25"/>
        <w:spacing w:before="312" w:beforeLines="100" w:line="360" w:lineRule="auto"/>
        <w:ind w:firstLine="560"/>
        <w:rPr>
          <w:rFonts w:hint="eastAsia" w:ascii="仿宋" w:hAnsi="仿宋" w:eastAsia="仿宋" w:cs="仿宋"/>
          <w:spacing w:val="20"/>
          <w:sz w:val="24"/>
        </w:rPr>
      </w:pPr>
      <w:r>
        <w:rPr>
          <w:rFonts w:hint="eastAsia" w:ascii="仿宋" w:hAnsi="仿宋" w:eastAsia="仿宋" w:cs="仿宋"/>
          <w:spacing w:val="20"/>
          <w:sz w:val="24"/>
        </w:rPr>
        <w:t>五、各参选</w:t>
      </w:r>
      <w:r>
        <w:rPr>
          <w:rFonts w:hint="eastAsia" w:ascii="仿宋" w:hAnsi="仿宋" w:eastAsia="仿宋" w:cs="仿宋"/>
          <w:spacing w:val="20"/>
          <w:sz w:val="24"/>
          <w:lang w:eastAsia="zh-CN"/>
        </w:rPr>
        <w:t>机构</w:t>
      </w:r>
      <w:r>
        <w:rPr>
          <w:rFonts w:hint="eastAsia" w:ascii="仿宋" w:hAnsi="仿宋" w:eastAsia="仿宋" w:cs="仿宋"/>
          <w:spacing w:val="20"/>
          <w:sz w:val="24"/>
        </w:rPr>
        <w:t>按综合评分高低排名，经评审专家组综合评定后确定中标的主承销商。</w:t>
      </w:r>
    </w:p>
    <w:p>
      <w:pPr>
        <w:pStyle w:val="25"/>
        <w:spacing w:before="312" w:beforeLines="100" w:line="360" w:lineRule="auto"/>
        <w:ind w:firstLine="560"/>
        <w:rPr>
          <w:rFonts w:ascii="仿宋" w:hAnsi="仿宋" w:eastAsia="仿宋" w:cs="仿宋"/>
          <w:spacing w:val="20"/>
          <w:sz w:val="24"/>
          <w:highlight w:val="none"/>
        </w:rPr>
      </w:pPr>
      <w:r>
        <w:rPr>
          <w:rFonts w:hint="eastAsia" w:ascii="仿宋" w:hAnsi="仿宋" w:eastAsia="仿宋" w:cs="仿宋"/>
          <w:spacing w:val="20"/>
          <w:sz w:val="24"/>
          <w:highlight w:val="none"/>
        </w:rPr>
        <w:t>六、本次招标不接受联合体投标。</w:t>
      </w:r>
    </w:p>
    <w:p>
      <w:pPr>
        <w:pStyle w:val="25"/>
        <w:spacing w:before="312" w:beforeLines="100" w:line="360" w:lineRule="auto"/>
        <w:ind w:firstLine="560"/>
        <w:rPr>
          <w:rFonts w:ascii="仿宋" w:hAnsi="仿宋" w:eastAsia="仿宋" w:cs="仿宋"/>
          <w:spacing w:val="20"/>
          <w:sz w:val="24"/>
        </w:rPr>
      </w:pPr>
    </w:p>
    <w:p>
      <w:pPr>
        <w:pStyle w:val="25"/>
        <w:spacing w:before="312" w:beforeLines="100" w:line="360" w:lineRule="auto"/>
        <w:ind w:firstLine="560"/>
        <w:rPr>
          <w:rFonts w:hint="eastAsia" w:ascii="仿宋" w:hAnsi="仿宋" w:eastAsia="仿宋" w:cs="仿宋"/>
          <w:spacing w:val="20"/>
          <w:sz w:val="24"/>
        </w:rPr>
      </w:pPr>
    </w:p>
    <w:p>
      <w:pPr>
        <w:pStyle w:val="25"/>
        <w:ind w:firstLine="560"/>
        <w:rPr>
          <w:rFonts w:hint="eastAsia" w:eastAsia="楷体"/>
          <w:spacing w:val="20"/>
          <w:szCs w:val="21"/>
        </w:rPr>
      </w:pPr>
      <w:r>
        <w:rPr>
          <w:rFonts w:hint="eastAsia" w:eastAsia="楷体"/>
          <w:spacing w:val="20"/>
          <w:sz w:val="24"/>
        </w:rPr>
        <w:br w:type="page"/>
      </w:r>
    </w:p>
    <w:p>
      <w:pPr>
        <w:pStyle w:val="4"/>
        <w:spacing w:before="0" w:after="0" w:line="360" w:lineRule="auto"/>
        <w:jc w:val="center"/>
        <w:rPr>
          <w:rFonts w:hint="eastAsia" w:ascii="黑体" w:hAnsi="黑体" w:eastAsia="黑体" w:cs="黑体"/>
          <w:b w:val="0"/>
          <w:bCs w:val="0"/>
          <w:sz w:val="32"/>
          <w:szCs w:val="32"/>
        </w:rPr>
      </w:pPr>
      <w:bookmarkStart w:id="11" w:name="_Toc10761"/>
      <w:r>
        <w:rPr>
          <w:rFonts w:hint="eastAsia" w:ascii="黑体" w:hAnsi="黑体" w:eastAsia="黑体" w:cs="黑体"/>
          <w:b w:val="0"/>
          <w:bCs w:val="0"/>
          <w:sz w:val="32"/>
          <w:szCs w:val="32"/>
        </w:rPr>
        <w:t>第一章  评选事项说明</w:t>
      </w:r>
      <w:bookmarkEnd w:id="11"/>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一、评选事项</w:t>
      </w:r>
    </w:p>
    <w:p>
      <w:pPr>
        <w:spacing w:line="360" w:lineRule="auto"/>
        <w:ind w:firstLine="560" w:firstLineChars="200"/>
        <w:rPr>
          <w:rFonts w:hint="eastAsia" w:ascii="仿宋" w:hAnsi="仿宋" w:eastAsia="仿宋" w:cs="仿宋"/>
          <w:b/>
          <w:sz w:val="24"/>
        </w:rPr>
      </w:pPr>
      <w:r>
        <w:rPr>
          <w:rFonts w:hint="eastAsia" w:ascii="仿宋" w:hAnsi="仿宋" w:eastAsia="仿宋" w:cs="仿宋"/>
          <w:spacing w:val="20"/>
          <w:sz w:val="24"/>
        </w:rPr>
        <w:t>通过评审专家组评估、比较，确定萧县交投</w:t>
      </w:r>
      <w:r>
        <w:rPr>
          <w:rFonts w:hint="eastAsia" w:ascii="仿宋" w:hAnsi="仿宋" w:eastAsia="仿宋" w:cs="仿宋"/>
          <w:spacing w:val="20"/>
          <w:sz w:val="24"/>
          <w:lang w:eastAsia="zh-CN"/>
        </w:rPr>
        <w:t>非公开定向债务融资工具（PPN）</w:t>
      </w:r>
      <w:r>
        <w:rPr>
          <w:rFonts w:hint="eastAsia" w:ascii="仿宋" w:hAnsi="仿宋" w:eastAsia="仿宋" w:cs="仿宋"/>
          <w:spacing w:val="20"/>
          <w:sz w:val="24"/>
        </w:rPr>
        <w:t>的主承销商。</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二、</w:t>
      </w:r>
      <w:r>
        <w:rPr>
          <w:rFonts w:hint="eastAsia" w:ascii="仿宋" w:hAnsi="仿宋" w:eastAsia="仿宋" w:cs="仿宋"/>
          <w:b/>
          <w:spacing w:val="20"/>
          <w:sz w:val="24"/>
          <w:lang w:val="en-US" w:eastAsia="zh-CN"/>
        </w:rPr>
        <w:t>评选内容</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萧县交通投资有限责任公司（以下简称“</w:t>
      </w:r>
      <w:r>
        <w:rPr>
          <w:rFonts w:hint="eastAsia" w:ascii="仿宋" w:hAnsi="仿宋" w:eastAsia="仿宋" w:cs="仿宋"/>
          <w:spacing w:val="20"/>
          <w:sz w:val="24"/>
          <w:lang w:val="en-US" w:eastAsia="zh-CN"/>
        </w:rPr>
        <w:t>萧县交投</w:t>
      </w:r>
      <w:r>
        <w:rPr>
          <w:rFonts w:hint="eastAsia" w:ascii="仿宋" w:hAnsi="仿宋" w:eastAsia="仿宋" w:cs="仿宋"/>
          <w:spacing w:val="20"/>
          <w:sz w:val="24"/>
        </w:rPr>
        <w:t>”）发行</w:t>
      </w:r>
      <w:r>
        <w:rPr>
          <w:rFonts w:hint="eastAsia" w:ascii="仿宋" w:hAnsi="仿宋" w:eastAsia="仿宋" w:cs="仿宋"/>
          <w:spacing w:val="20"/>
          <w:sz w:val="24"/>
          <w:lang w:val="en-US" w:eastAsia="zh-CN"/>
        </w:rPr>
        <w:t>非公开定向债务融资工具（以下简称“PPN”）</w:t>
      </w:r>
      <w:r>
        <w:rPr>
          <w:rFonts w:hint="eastAsia" w:ascii="仿宋" w:hAnsi="仿宋" w:eastAsia="仿宋" w:cs="仿宋"/>
          <w:spacing w:val="20"/>
          <w:sz w:val="24"/>
        </w:rPr>
        <w:t>选择主承销商。本次</w:t>
      </w:r>
      <w:r>
        <w:rPr>
          <w:rFonts w:hint="eastAsia" w:ascii="仿宋" w:hAnsi="仿宋" w:eastAsia="仿宋" w:cs="仿宋"/>
          <w:spacing w:val="20"/>
          <w:sz w:val="24"/>
          <w:lang w:val="en-US" w:eastAsia="zh-CN"/>
        </w:rPr>
        <w:t>PPN</w:t>
      </w:r>
      <w:r>
        <w:rPr>
          <w:rFonts w:hint="eastAsia" w:ascii="仿宋" w:hAnsi="仿宋" w:eastAsia="仿宋" w:cs="仿宋"/>
          <w:spacing w:val="20"/>
          <w:sz w:val="24"/>
        </w:rPr>
        <w:t>发行主要要素如下：</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发行人：萧县交通投资有限责任公司</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申报额度：不超过</w:t>
      </w:r>
      <w:r>
        <w:rPr>
          <w:rFonts w:hint="eastAsia" w:ascii="仿宋" w:hAnsi="仿宋" w:eastAsia="仿宋" w:cs="仿宋"/>
          <w:spacing w:val="20"/>
          <w:sz w:val="24"/>
          <w:lang w:val="en-US" w:eastAsia="zh-CN"/>
        </w:rPr>
        <w:t>10</w:t>
      </w:r>
      <w:r>
        <w:rPr>
          <w:rFonts w:hint="eastAsia" w:ascii="仿宋" w:hAnsi="仿宋" w:eastAsia="仿宋" w:cs="仿宋"/>
          <w:spacing w:val="20"/>
          <w:sz w:val="24"/>
        </w:rPr>
        <w:t>亿元</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期限：3-5年</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项目类别：</w:t>
      </w:r>
      <w:r>
        <w:rPr>
          <w:rFonts w:hint="eastAsia" w:ascii="仿宋" w:hAnsi="仿宋" w:eastAsia="仿宋" w:cs="仿宋"/>
          <w:spacing w:val="20"/>
          <w:sz w:val="24"/>
          <w:lang w:eastAsia="zh-CN"/>
        </w:rPr>
        <w:t>服务类项目（</w:t>
      </w:r>
      <w:r>
        <w:rPr>
          <w:rFonts w:hint="eastAsia" w:ascii="仿宋" w:hAnsi="仿宋" w:eastAsia="仿宋" w:cs="仿宋"/>
          <w:spacing w:val="20"/>
          <w:sz w:val="24"/>
        </w:rPr>
        <w:t>与工程项目无关</w:t>
      </w:r>
      <w:r>
        <w:rPr>
          <w:rFonts w:hint="eastAsia" w:ascii="仿宋" w:hAnsi="仿宋" w:eastAsia="仿宋" w:cs="仿宋"/>
          <w:spacing w:val="20"/>
          <w:sz w:val="24"/>
          <w:lang w:eastAsia="zh-CN"/>
        </w:rPr>
        <w:t>）</w:t>
      </w:r>
    </w:p>
    <w:p>
      <w:pPr>
        <w:spacing w:line="360" w:lineRule="auto"/>
        <w:ind w:firstLine="560" w:firstLineChars="200"/>
        <w:rPr>
          <w:rFonts w:hint="eastAsia" w:ascii="仿宋" w:hAnsi="仿宋" w:eastAsia="仿宋" w:cs="仿宋"/>
          <w:spacing w:val="20"/>
          <w:sz w:val="24"/>
          <w:lang w:val="en-US" w:eastAsia="zh-CN"/>
        </w:rPr>
      </w:pPr>
      <w:r>
        <w:rPr>
          <w:rFonts w:hint="eastAsia" w:ascii="仿宋" w:hAnsi="仿宋" w:eastAsia="仿宋" w:cs="仿宋"/>
          <w:spacing w:val="20"/>
          <w:sz w:val="24"/>
        </w:rPr>
        <w:t>发行计划：由比选人根据资金需求状况，在核准有效期内一次性</w:t>
      </w:r>
      <w:r>
        <w:rPr>
          <w:rFonts w:hint="eastAsia" w:ascii="仿宋" w:hAnsi="仿宋" w:eastAsia="仿宋" w:cs="仿宋"/>
          <w:spacing w:val="20"/>
          <w:sz w:val="24"/>
          <w:lang w:val="en-US" w:eastAsia="zh-CN"/>
        </w:rPr>
        <w:t>发行</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承销方式：余额包销</w:t>
      </w:r>
    </w:p>
    <w:p>
      <w:pPr>
        <w:spacing w:line="360" w:lineRule="auto"/>
        <w:rPr>
          <w:rFonts w:hint="default" w:ascii="仿宋" w:hAnsi="仿宋" w:eastAsia="仿宋" w:cs="仿宋"/>
          <w:b/>
          <w:spacing w:val="20"/>
          <w:sz w:val="24"/>
          <w:lang w:val="en-US" w:eastAsia="zh-CN"/>
        </w:rPr>
      </w:pPr>
      <w:r>
        <w:rPr>
          <w:rFonts w:hint="eastAsia" w:ascii="仿宋" w:hAnsi="仿宋" w:eastAsia="仿宋" w:cs="仿宋"/>
          <w:b/>
          <w:spacing w:val="20"/>
          <w:sz w:val="24"/>
        </w:rPr>
        <w:t>三、</w:t>
      </w:r>
      <w:r>
        <w:rPr>
          <w:rFonts w:hint="eastAsia" w:ascii="仿宋" w:hAnsi="仿宋" w:eastAsia="仿宋" w:cs="仿宋"/>
          <w:b/>
          <w:spacing w:val="20"/>
          <w:sz w:val="24"/>
          <w:lang w:val="en-US" w:eastAsia="zh-CN"/>
        </w:rPr>
        <w:t>申请机构资格要求</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1、具有独立及依法存续的法人资格。</w:t>
      </w:r>
    </w:p>
    <w:p>
      <w:pPr>
        <w:spacing w:line="360" w:lineRule="auto"/>
        <w:ind w:firstLine="560" w:firstLineChars="200"/>
        <w:rPr>
          <w:rFonts w:hint="eastAsia" w:ascii="仿宋" w:hAnsi="仿宋" w:eastAsia="仿宋" w:cs="仿宋"/>
          <w:spacing w:val="20"/>
          <w:sz w:val="24"/>
          <w:highlight w:val="none"/>
        </w:rPr>
      </w:pPr>
      <w:r>
        <w:rPr>
          <w:rFonts w:hint="eastAsia" w:ascii="仿宋" w:hAnsi="仿宋" w:eastAsia="仿宋" w:cs="仿宋"/>
          <w:spacing w:val="20"/>
          <w:sz w:val="24"/>
        </w:rPr>
        <w:t>2、具有作</w:t>
      </w:r>
      <w:r>
        <w:rPr>
          <w:rFonts w:hint="eastAsia" w:ascii="仿宋" w:hAnsi="仿宋" w:eastAsia="仿宋" w:cs="仿宋"/>
          <w:spacing w:val="20"/>
          <w:sz w:val="24"/>
          <w:highlight w:val="none"/>
        </w:rPr>
        <w:t>为银行间市场交易商协</w:t>
      </w:r>
      <w:r>
        <w:rPr>
          <w:rFonts w:hint="eastAsia" w:ascii="仿宋" w:hAnsi="仿宋" w:eastAsia="仿宋" w:cs="仿宋"/>
          <w:spacing w:val="20"/>
          <w:sz w:val="24"/>
          <w:highlight w:val="none"/>
          <w:lang w:val="en-US" w:eastAsia="zh-CN"/>
        </w:rPr>
        <w:t>会</w:t>
      </w:r>
      <w:r>
        <w:rPr>
          <w:rFonts w:hint="eastAsia" w:ascii="仿宋" w:hAnsi="仿宋" w:eastAsia="仿宋" w:cs="仿宋"/>
          <w:spacing w:val="20"/>
          <w:sz w:val="24"/>
          <w:highlight w:val="none"/>
        </w:rPr>
        <w:t>主承销商的资格。</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3、最近三年没有重大违法违规行为。</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4、具有良好的承销业绩和行业口碑；熟悉</w:t>
      </w:r>
      <w:r>
        <w:rPr>
          <w:rFonts w:hint="eastAsia" w:ascii="仿宋" w:hAnsi="仿宋" w:eastAsia="仿宋" w:cs="仿宋"/>
          <w:spacing w:val="20"/>
          <w:sz w:val="24"/>
          <w:lang w:val="en-US" w:eastAsia="zh-CN"/>
        </w:rPr>
        <w:t>PPN</w:t>
      </w:r>
      <w:r>
        <w:rPr>
          <w:rFonts w:hint="eastAsia" w:ascii="仿宋" w:hAnsi="仿宋" w:eastAsia="仿宋" w:cs="仿宋"/>
          <w:spacing w:val="20"/>
          <w:sz w:val="24"/>
        </w:rPr>
        <w:t>发行程序，拥有熟悉相关业务规则及操作程序的专业团队；拟派项目负责人具有发行</w:t>
      </w:r>
      <w:r>
        <w:rPr>
          <w:rFonts w:hint="eastAsia" w:ascii="仿宋" w:hAnsi="仿宋" w:eastAsia="仿宋" w:cs="仿宋"/>
          <w:spacing w:val="20"/>
          <w:sz w:val="24"/>
          <w:lang w:val="en-US" w:eastAsia="zh-CN"/>
        </w:rPr>
        <w:t>PPN</w:t>
      </w:r>
      <w:r>
        <w:rPr>
          <w:rFonts w:hint="eastAsia" w:ascii="仿宋" w:hAnsi="仿宋" w:eastAsia="仿宋" w:cs="仿宋"/>
          <w:spacing w:val="20"/>
          <w:sz w:val="24"/>
        </w:rPr>
        <w:t>成功案例的经验。</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5、法律、行政法规、规范性文件及自律规范规定的其他条件。</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6、本次比选不接受联合体参加比选。</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四、参选费用</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不论评选的结果如何，参选</w:t>
      </w:r>
      <w:r>
        <w:rPr>
          <w:rFonts w:hint="eastAsia" w:ascii="仿宋" w:hAnsi="仿宋" w:eastAsia="仿宋" w:cs="仿宋"/>
          <w:spacing w:val="20"/>
          <w:sz w:val="24"/>
          <w:lang w:eastAsia="zh-CN"/>
        </w:rPr>
        <w:t>机构</w:t>
      </w:r>
      <w:r>
        <w:rPr>
          <w:rFonts w:hint="eastAsia" w:ascii="仿宋" w:hAnsi="仿宋" w:eastAsia="仿宋" w:cs="仿宋"/>
          <w:spacing w:val="20"/>
          <w:sz w:val="24"/>
        </w:rPr>
        <w:t>自行承担所有编写和提交参选文件有关的费用。</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五、参选</w:t>
      </w:r>
      <w:r>
        <w:rPr>
          <w:rFonts w:hint="eastAsia" w:ascii="仿宋" w:hAnsi="仿宋" w:eastAsia="仿宋" w:cs="仿宋"/>
          <w:b/>
          <w:spacing w:val="20"/>
          <w:sz w:val="24"/>
          <w:lang w:eastAsia="zh-CN"/>
        </w:rPr>
        <w:t>机构</w:t>
      </w:r>
      <w:r>
        <w:rPr>
          <w:rFonts w:hint="eastAsia" w:ascii="仿宋" w:hAnsi="仿宋" w:eastAsia="仿宋" w:cs="仿宋"/>
          <w:b/>
          <w:spacing w:val="20"/>
          <w:sz w:val="24"/>
        </w:rPr>
        <w:t>代表</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指全权代表参选</w:t>
      </w:r>
      <w:r>
        <w:rPr>
          <w:rFonts w:hint="eastAsia" w:ascii="仿宋" w:hAnsi="仿宋" w:eastAsia="仿宋" w:cs="仿宋"/>
          <w:spacing w:val="20"/>
          <w:sz w:val="24"/>
          <w:lang w:eastAsia="zh-CN"/>
        </w:rPr>
        <w:t>机构</w:t>
      </w:r>
      <w:r>
        <w:rPr>
          <w:rFonts w:hint="eastAsia" w:ascii="仿宋" w:hAnsi="仿宋" w:eastAsia="仿宋" w:cs="仿宋"/>
          <w:spacing w:val="20"/>
          <w:sz w:val="24"/>
        </w:rPr>
        <w:t>参加评选活动并签署参选文件的人。参选</w:t>
      </w:r>
      <w:r>
        <w:rPr>
          <w:rFonts w:hint="eastAsia" w:ascii="仿宋" w:hAnsi="仿宋" w:eastAsia="仿宋" w:cs="仿宋"/>
          <w:spacing w:val="20"/>
          <w:sz w:val="24"/>
          <w:lang w:eastAsia="zh-CN"/>
        </w:rPr>
        <w:t>机构</w:t>
      </w:r>
      <w:r>
        <w:rPr>
          <w:rFonts w:hint="eastAsia" w:ascii="仿宋" w:hAnsi="仿宋" w:eastAsia="仿宋" w:cs="仿宋"/>
          <w:spacing w:val="20"/>
          <w:sz w:val="24"/>
        </w:rPr>
        <w:t>代表必须提供公司授权委托书（纸质原件），否则经评审专家组商议后可以直接确认参标无效，不接受任何除纸质授权以外的其它任何授权。</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六、本工作方案的修改</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在接收参选文件截止日期之前的任何时候，无论出于何种原因，萧县交投可主动地或在解答参选</w:t>
      </w:r>
      <w:r>
        <w:rPr>
          <w:rFonts w:hint="eastAsia" w:ascii="仿宋" w:hAnsi="仿宋" w:eastAsia="仿宋" w:cs="仿宋"/>
          <w:spacing w:val="20"/>
          <w:sz w:val="24"/>
          <w:lang w:eastAsia="zh-CN"/>
        </w:rPr>
        <w:t>机构</w:t>
      </w:r>
      <w:r>
        <w:rPr>
          <w:rFonts w:hint="eastAsia" w:ascii="仿宋" w:hAnsi="仿宋" w:eastAsia="仿宋" w:cs="仿宋"/>
          <w:spacing w:val="20"/>
          <w:sz w:val="24"/>
        </w:rPr>
        <w:t>提出的问题后对本工作方案进行修改。</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七、参选的撤销</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参选</w:t>
      </w:r>
      <w:r>
        <w:rPr>
          <w:rFonts w:hint="eastAsia" w:ascii="仿宋" w:hAnsi="仿宋" w:eastAsia="仿宋" w:cs="仿宋"/>
          <w:spacing w:val="20"/>
          <w:sz w:val="24"/>
          <w:lang w:eastAsia="zh-CN"/>
        </w:rPr>
        <w:t>机构</w:t>
      </w:r>
      <w:r>
        <w:rPr>
          <w:rFonts w:hint="eastAsia" w:ascii="仿宋" w:hAnsi="仿宋" w:eastAsia="仿宋" w:cs="仿宋"/>
          <w:spacing w:val="20"/>
          <w:sz w:val="24"/>
        </w:rPr>
        <w:t>可在参选材料接收截止日期前撤销参选，在参选材料接收截止日期后不可撤销参选。</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八、参选有效期</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自参选</w:t>
      </w:r>
      <w:r>
        <w:rPr>
          <w:rFonts w:hint="eastAsia" w:ascii="仿宋" w:hAnsi="仿宋" w:eastAsia="仿宋" w:cs="仿宋"/>
          <w:spacing w:val="20"/>
          <w:sz w:val="24"/>
          <w:lang w:eastAsia="zh-CN"/>
        </w:rPr>
        <w:t>机构</w:t>
      </w:r>
      <w:r>
        <w:rPr>
          <w:rFonts w:hint="eastAsia" w:ascii="仿宋" w:hAnsi="仿宋" w:eastAsia="仿宋" w:cs="仿宋"/>
          <w:spacing w:val="20"/>
          <w:sz w:val="24"/>
        </w:rPr>
        <w:t>递交参选文件起至萧县交投确定中标单位为止。</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九、参选材料的提供与审核</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投标</w:t>
      </w:r>
      <w:r>
        <w:rPr>
          <w:rFonts w:hint="eastAsia" w:ascii="仿宋" w:hAnsi="仿宋" w:eastAsia="仿宋" w:cs="仿宋"/>
          <w:spacing w:val="20"/>
          <w:sz w:val="24"/>
          <w:lang w:eastAsia="zh-CN"/>
        </w:rPr>
        <w:t>机构</w:t>
      </w:r>
      <w:r>
        <w:rPr>
          <w:rFonts w:hint="eastAsia" w:ascii="仿宋" w:hAnsi="仿宋" w:eastAsia="仿宋" w:cs="仿宋"/>
          <w:spacing w:val="20"/>
          <w:sz w:val="24"/>
        </w:rPr>
        <w:t>所提供材料必须真实有效，否则无论是否中标，萧县交投可随时撤销中标资格。同时，所提供材料需要盖章处必须加盖公章（原件必须有、复印件可彩印）。</w:t>
      </w:r>
    </w:p>
    <w:p>
      <w:pPr>
        <w:pStyle w:val="4"/>
        <w:spacing w:before="0" w:after="0" w:line="360" w:lineRule="auto"/>
        <w:jc w:val="center"/>
        <w:rPr>
          <w:rFonts w:hint="eastAsia" w:ascii="黑体" w:hAnsi="黑体" w:eastAsia="黑体" w:cs="黑体"/>
          <w:b w:val="0"/>
          <w:bCs w:val="0"/>
          <w:sz w:val="28"/>
          <w:szCs w:val="28"/>
        </w:rPr>
      </w:pPr>
      <w:r>
        <w:rPr>
          <w:rFonts w:hint="eastAsia"/>
        </w:rPr>
        <w:br w:type="page"/>
      </w:r>
      <w:bookmarkStart w:id="12" w:name="_Toc2462"/>
      <w:r>
        <w:rPr>
          <w:rFonts w:hint="eastAsia" w:ascii="黑体" w:hAnsi="黑体" w:eastAsia="黑体" w:cs="黑体"/>
          <w:b w:val="0"/>
          <w:bCs w:val="0"/>
          <w:sz w:val="32"/>
          <w:szCs w:val="32"/>
        </w:rPr>
        <w:t>第二章  评选工作流程</w:t>
      </w:r>
      <w:bookmarkEnd w:id="12"/>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一、参选方式</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萧县交投公告挂网后</w:t>
      </w:r>
      <w:r>
        <w:rPr>
          <w:rFonts w:hint="eastAsia" w:ascii="仿宋" w:hAnsi="仿宋" w:eastAsia="仿宋" w:cs="仿宋"/>
          <w:spacing w:val="20"/>
          <w:sz w:val="24"/>
          <w:lang w:eastAsia="zh-CN"/>
        </w:rPr>
        <w:t>机构</w:t>
      </w:r>
      <w:r>
        <w:rPr>
          <w:rFonts w:hint="eastAsia" w:ascii="仿宋" w:hAnsi="仿宋" w:eastAsia="仿宋" w:cs="仿宋"/>
          <w:spacing w:val="20"/>
          <w:sz w:val="24"/>
        </w:rPr>
        <w:t>自主参选本期债券主承销商，各</w:t>
      </w:r>
      <w:r>
        <w:rPr>
          <w:rFonts w:hint="eastAsia" w:ascii="仿宋" w:hAnsi="仿宋" w:eastAsia="仿宋" w:cs="仿宋"/>
          <w:spacing w:val="20"/>
          <w:sz w:val="24"/>
          <w:lang w:eastAsia="zh-CN"/>
        </w:rPr>
        <w:t>机构</w:t>
      </w:r>
      <w:r>
        <w:rPr>
          <w:rFonts w:hint="eastAsia" w:ascii="仿宋" w:hAnsi="仿宋" w:eastAsia="仿宋" w:cs="仿宋"/>
          <w:spacing w:val="20"/>
          <w:sz w:val="24"/>
        </w:rPr>
        <w:t>单独参与招标。</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二、参选确认</w:t>
      </w:r>
    </w:p>
    <w:p>
      <w:pPr>
        <w:spacing w:line="360" w:lineRule="auto"/>
        <w:ind w:firstLine="560" w:firstLineChars="200"/>
        <w:rPr>
          <w:rFonts w:hint="eastAsia" w:ascii="仿宋" w:hAnsi="仿宋" w:eastAsia="仿宋" w:cs="仿宋"/>
          <w:spacing w:val="20"/>
          <w:sz w:val="24"/>
          <w:highlight w:val="none"/>
        </w:rPr>
      </w:pPr>
      <w:r>
        <w:rPr>
          <w:rFonts w:hint="eastAsia" w:ascii="仿宋" w:hAnsi="仿宋" w:eastAsia="仿宋" w:cs="仿宋"/>
          <w:spacing w:val="20"/>
          <w:sz w:val="24"/>
        </w:rPr>
        <w:t>任何拟参选本次债券主承</w:t>
      </w:r>
      <w:r>
        <w:rPr>
          <w:rFonts w:hint="eastAsia" w:ascii="仿宋" w:hAnsi="仿宋" w:eastAsia="仿宋" w:cs="仿宋"/>
          <w:spacing w:val="20"/>
          <w:sz w:val="24"/>
          <w:highlight w:val="none"/>
        </w:rPr>
        <w:t>销商的</w:t>
      </w:r>
      <w:r>
        <w:rPr>
          <w:rFonts w:hint="eastAsia" w:ascii="仿宋" w:hAnsi="仿宋" w:eastAsia="仿宋" w:cs="仿宋"/>
          <w:spacing w:val="20"/>
          <w:sz w:val="24"/>
          <w:highlight w:val="none"/>
          <w:lang w:eastAsia="zh-CN"/>
        </w:rPr>
        <w:t>机构</w:t>
      </w:r>
      <w:r>
        <w:rPr>
          <w:rFonts w:hint="eastAsia" w:ascii="仿宋" w:hAnsi="仿宋" w:eastAsia="仿宋" w:cs="仿宋"/>
          <w:spacing w:val="20"/>
          <w:sz w:val="24"/>
          <w:highlight w:val="none"/>
        </w:rPr>
        <w:t>，请务必在202</w:t>
      </w:r>
      <w:r>
        <w:rPr>
          <w:rFonts w:ascii="仿宋" w:hAnsi="仿宋" w:eastAsia="仿宋" w:cs="仿宋"/>
          <w:spacing w:val="20"/>
          <w:sz w:val="24"/>
          <w:highlight w:val="none"/>
        </w:rPr>
        <w:t>4</w:t>
      </w:r>
      <w:r>
        <w:rPr>
          <w:rFonts w:hint="eastAsia" w:ascii="仿宋" w:hAnsi="仿宋" w:eastAsia="仿宋" w:cs="仿宋"/>
          <w:spacing w:val="20"/>
          <w:sz w:val="24"/>
          <w:highlight w:val="none"/>
        </w:rPr>
        <w:t>年</w:t>
      </w:r>
      <w:r>
        <w:rPr>
          <w:rFonts w:hint="eastAsia" w:ascii="仿宋" w:hAnsi="仿宋" w:eastAsia="仿宋" w:cs="仿宋"/>
          <w:spacing w:val="20"/>
          <w:sz w:val="24"/>
          <w:highlight w:val="none"/>
          <w:lang w:val="en-US" w:eastAsia="zh-CN"/>
        </w:rPr>
        <w:t>2</w:t>
      </w:r>
      <w:r>
        <w:rPr>
          <w:rFonts w:hint="eastAsia" w:ascii="仿宋" w:hAnsi="仿宋" w:eastAsia="仿宋" w:cs="仿宋"/>
          <w:spacing w:val="20"/>
          <w:sz w:val="24"/>
          <w:highlight w:val="none"/>
        </w:rPr>
        <w:t>月</w:t>
      </w:r>
      <w:r>
        <w:rPr>
          <w:rFonts w:hint="eastAsia" w:ascii="仿宋" w:hAnsi="仿宋" w:eastAsia="仿宋" w:cs="仿宋"/>
          <w:spacing w:val="20"/>
          <w:sz w:val="24"/>
          <w:highlight w:val="none"/>
          <w:lang w:val="en-US" w:eastAsia="zh-CN"/>
        </w:rPr>
        <w:t>5</w:t>
      </w:r>
      <w:r>
        <w:rPr>
          <w:rFonts w:hint="eastAsia" w:ascii="仿宋" w:hAnsi="仿宋" w:eastAsia="仿宋" w:cs="仿宋"/>
          <w:spacing w:val="20"/>
          <w:sz w:val="24"/>
          <w:highlight w:val="none"/>
        </w:rPr>
        <w:t>日9:00点前将投标文件以递交、邮寄的方式给萧县交投，过期未收到者视为放弃参与招标。</w:t>
      </w:r>
    </w:p>
    <w:p>
      <w:pPr>
        <w:spacing w:line="360" w:lineRule="auto"/>
        <w:rPr>
          <w:rFonts w:hint="eastAsia" w:ascii="仿宋" w:hAnsi="仿宋" w:eastAsia="仿宋" w:cs="仿宋"/>
          <w:b/>
          <w:spacing w:val="20"/>
          <w:sz w:val="24"/>
          <w:highlight w:val="none"/>
        </w:rPr>
      </w:pPr>
      <w:r>
        <w:rPr>
          <w:rFonts w:hint="eastAsia" w:ascii="仿宋" w:hAnsi="仿宋" w:eastAsia="仿宋" w:cs="仿宋"/>
          <w:b/>
          <w:spacing w:val="20"/>
          <w:sz w:val="24"/>
          <w:highlight w:val="none"/>
        </w:rPr>
        <w:t>三、参选文件编写</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highlight w:val="none"/>
        </w:rPr>
        <w:t>所有参选</w:t>
      </w:r>
      <w:r>
        <w:rPr>
          <w:rFonts w:hint="eastAsia" w:ascii="仿宋" w:hAnsi="仿宋" w:eastAsia="仿宋" w:cs="仿宋"/>
          <w:spacing w:val="20"/>
          <w:sz w:val="24"/>
          <w:highlight w:val="none"/>
          <w:lang w:eastAsia="zh-CN"/>
        </w:rPr>
        <w:t>机构</w:t>
      </w:r>
      <w:r>
        <w:rPr>
          <w:rFonts w:hint="eastAsia" w:ascii="仿宋" w:hAnsi="仿宋" w:eastAsia="仿宋" w:cs="仿宋"/>
          <w:spacing w:val="20"/>
          <w:sz w:val="24"/>
          <w:highlight w:val="none"/>
        </w:rPr>
        <w:t>均须按照本工作方案要求编写和准备参选文件，并加盖公章（部门业务章无效），所有附件均一并装订在标书中（包括授权委托书原件），标书共计5份，其中至少提供1份原件（原件中涉及盖章部分必须为手盖章，不可彩印</w:t>
      </w:r>
      <w:r>
        <w:rPr>
          <w:rFonts w:hint="eastAsia" w:ascii="仿宋" w:hAnsi="仿宋" w:eastAsia="仿宋" w:cs="仿宋"/>
          <w:spacing w:val="20"/>
          <w:sz w:val="24"/>
        </w:rPr>
        <w:t>），其余4份投标标书可复印或彩印。</w:t>
      </w:r>
    </w:p>
    <w:p>
      <w:pPr>
        <w:spacing w:line="360" w:lineRule="auto"/>
        <w:rPr>
          <w:rFonts w:hint="eastAsia" w:ascii="仿宋" w:hAnsi="仿宋" w:eastAsia="仿宋" w:cs="仿宋"/>
          <w:spacing w:val="20"/>
          <w:sz w:val="24"/>
        </w:rPr>
      </w:pPr>
      <w:r>
        <w:rPr>
          <w:rFonts w:hint="eastAsia" w:ascii="仿宋" w:hAnsi="仿宋" w:eastAsia="仿宋" w:cs="仿宋"/>
          <w:b/>
          <w:spacing w:val="20"/>
          <w:sz w:val="24"/>
        </w:rPr>
        <w:t>四、参选材料提交</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参选</w:t>
      </w:r>
      <w:r>
        <w:rPr>
          <w:rFonts w:hint="eastAsia" w:ascii="仿宋" w:hAnsi="仿宋" w:eastAsia="仿宋" w:cs="仿宋"/>
          <w:spacing w:val="20"/>
          <w:sz w:val="24"/>
          <w:lang w:eastAsia="zh-CN"/>
        </w:rPr>
        <w:t>机构</w:t>
      </w:r>
      <w:r>
        <w:rPr>
          <w:rFonts w:hint="eastAsia" w:ascii="仿宋" w:hAnsi="仿宋" w:eastAsia="仿宋" w:cs="仿宋"/>
          <w:spacing w:val="20"/>
          <w:sz w:val="24"/>
        </w:rPr>
        <w:t>根据本工作方案所列的评审标准提交相关资料。</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五、主承销商评选</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萧县交投组织的评审专家组小组负责对参选</w:t>
      </w:r>
      <w:r>
        <w:rPr>
          <w:rFonts w:hint="eastAsia" w:ascii="仿宋" w:hAnsi="仿宋" w:eastAsia="仿宋" w:cs="仿宋"/>
          <w:spacing w:val="20"/>
          <w:sz w:val="24"/>
          <w:lang w:eastAsia="zh-CN"/>
        </w:rPr>
        <w:t>机构</w:t>
      </w:r>
      <w:r>
        <w:rPr>
          <w:rFonts w:hint="eastAsia" w:ascii="仿宋" w:hAnsi="仿宋" w:eastAsia="仿宋" w:cs="仿宋"/>
          <w:spacing w:val="20"/>
          <w:sz w:val="24"/>
        </w:rPr>
        <w:t>提交的投标文件进行审核及内部评议。</w:t>
      </w:r>
    </w:p>
    <w:p>
      <w:pPr>
        <w:spacing w:line="360" w:lineRule="auto"/>
        <w:ind w:left="720" w:hanging="720"/>
        <w:rPr>
          <w:rFonts w:hint="eastAsia" w:ascii="仿宋" w:hAnsi="仿宋" w:eastAsia="仿宋" w:cs="仿宋"/>
          <w:b/>
          <w:spacing w:val="20"/>
          <w:sz w:val="24"/>
        </w:rPr>
      </w:pPr>
      <w:r>
        <w:rPr>
          <w:rFonts w:hint="eastAsia" w:ascii="仿宋" w:hAnsi="仿宋" w:eastAsia="仿宋" w:cs="仿宋"/>
          <w:b/>
          <w:spacing w:val="20"/>
          <w:sz w:val="24"/>
        </w:rPr>
        <w:t>六、评选结果通知</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评审专家组确定本期</w:t>
      </w:r>
      <w:r>
        <w:rPr>
          <w:rFonts w:hint="eastAsia" w:ascii="仿宋" w:hAnsi="仿宋" w:eastAsia="仿宋" w:cs="仿宋"/>
          <w:spacing w:val="20"/>
          <w:sz w:val="24"/>
          <w:lang w:eastAsia="zh-CN"/>
        </w:rPr>
        <w:t>非公开定向债务融资工具（PPN）</w:t>
      </w:r>
      <w:r>
        <w:rPr>
          <w:rFonts w:hint="eastAsia" w:ascii="仿宋" w:hAnsi="仿宋" w:eastAsia="仿宋" w:cs="仿宋"/>
          <w:spacing w:val="20"/>
          <w:sz w:val="24"/>
        </w:rPr>
        <w:t>的主承销商，并由萧县交投通知评标结果。中标者必须严格按照标书及现场承诺完成项目进度，否则，萧县交投可随时撤销中标资格。</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br w:type="page"/>
      </w:r>
    </w:p>
    <w:p>
      <w:pPr>
        <w:pStyle w:val="4"/>
        <w:spacing w:before="0" w:after="0" w:line="360" w:lineRule="auto"/>
        <w:jc w:val="center"/>
        <w:rPr>
          <w:rFonts w:hint="eastAsia" w:ascii="黑体" w:hAnsi="黑体" w:eastAsia="黑体" w:cs="黑体"/>
          <w:b w:val="0"/>
          <w:bCs w:val="0"/>
          <w:sz w:val="32"/>
          <w:szCs w:val="32"/>
        </w:rPr>
      </w:pPr>
      <w:bookmarkStart w:id="13" w:name="_Toc27180"/>
      <w:r>
        <w:rPr>
          <w:rFonts w:hint="eastAsia" w:ascii="黑体" w:hAnsi="黑体" w:eastAsia="黑体" w:cs="黑体"/>
          <w:b w:val="0"/>
          <w:bCs w:val="0"/>
          <w:sz w:val="32"/>
          <w:szCs w:val="32"/>
        </w:rPr>
        <w:t>第三章  评审专家组与评选规则</w:t>
      </w:r>
      <w:bookmarkEnd w:id="13"/>
    </w:p>
    <w:p>
      <w:pPr>
        <w:spacing w:line="360" w:lineRule="auto"/>
        <w:rPr>
          <w:rFonts w:hint="eastAsia" w:ascii="仿宋" w:hAnsi="仿宋" w:eastAsia="仿宋" w:cs="仿宋"/>
          <w:b/>
          <w:spacing w:val="20"/>
          <w:sz w:val="24"/>
        </w:rPr>
      </w:pPr>
      <w:r>
        <w:rPr>
          <w:rFonts w:hint="eastAsia" w:ascii="仿宋" w:hAnsi="仿宋" w:eastAsia="仿宋" w:cs="仿宋"/>
          <w:b/>
          <w:spacing w:val="20"/>
          <w:sz w:val="24"/>
        </w:rPr>
        <w:t>一、组成人员</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评审专家组由5名人员组成，对投标文件进行评审并提供评审意见。</w:t>
      </w:r>
    </w:p>
    <w:p>
      <w:pPr>
        <w:spacing w:line="360" w:lineRule="auto"/>
        <w:rPr>
          <w:rFonts w:hint="eastAsia" w:ascii="仿宋" w:hAnsi="仿宋" w:eastAsia="仿宋" w:cs="仿宋"/>
          <w:b/>
          <w:spacing w:val="20"/>
          <w:sz w:val="24"/>
        </w:rPr>
      </w:pPr>
      <w:r>
        <w:rPr>
          <w:rFonts w:hint="eastAsia" w:ascii="仿宋" w:hAnsi="仿宋" w:eastAsia="仿宋" w:cs="仿宋"/>
          <w:b/>
          <w:spacing w:val="20"/>
          <w:sz w:val="24"/>
        </w:rPr>
        <w:t>二、评审过程注意事项</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评审专家组对参选</w:t>
      </w:r>
      <w:r>
        <w:rPr>
          <w:rFonts w:hint="eastAsia" w:ascii="仿宋" w:hAnsi="仿宋" w:eastAsia="仿宋" w:cs="仿宋"/>
          <w:spacing w:val="20"/>
          <w:sz w:val="24"/>
          <w:lang w:eastAsia="zh-CN"/>
        </w:rPr>
        <w:t>机构</w:t>
      </w:r>
      <w:r>
        <w:rPr>
          <w:rFonts w:hint="eastAsia" w:ascii="仿宋" w:hAnsi="仿宋" w:eastAsia="仿宋" w:cs="仿宋"/>
          <w:spacing w:val="20"/>
          <w:sz w:val="24"/>
        </w:rPr>
        <w:t>提供的资料直接进行审核及内部评议，评议的主要内容为机构综合实力、债券承销发行经验、方案设计等。</w:t>
      </w:r>
    </w:p>
    <w:p>
      <w:pPr>
        <w:spacing w:line="360" w:lineRule="auto"/>
        <w:rPr>
          <w:rFonts w:hint="eastAsia" w:ascii="仿宋" w:hAnsi="仿宋" w:eastAsia="仿宋" w:cs="仿宋"/>
          <w:b/>
          <w:spacing w:val="20"/>
          <w:sz w:val="24"/>
        </w:rPr>
      </w:pPr>
      <w:r>
        <w:rPr>
          <w:rFonts w:hint="eastAsia" w:ascii="仿宋" w:hAnsi="仿宋" w:eastAsia="仿宋" w:cs="仿宋"/>
          <w:b/>
          <w:spacing w:val="20"/>
          <w:sz w:val="24"/>
        </w:rPr>
        <w:t>三、评审规则</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1.评审专家组成员分别按照评审标准对参选</w:t>
      </w:r>
      <w:r>
        <w:rPr>
          <w:rFonts w:hint="eastAsia" w:ascii="仿宋" w:hAnsi="仿宋" w:eastAsia="仿宋" w:cs="仿宋"/>
          <w:spacing w:val="20"/>
          <w:sz w:val="24"/>
          <w:lang w:eastAsia="zh-CN"/>
        </w:rPr>
        <w:t>机构</w:t>
      </w:r>
      <w:r>
        <w:rPr>
          <w:rFonts w:hint="eastAsia" w:ascii="仿宋" w:hAnsi="仿宋" w:eastAsia="仿宋" w:cs="仿宋"/>
          <w:spacing w:val="20"/>
          <w:sz w:val="24"/>
        </w:rPr>
        <w:t>进行评估。</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2.重点考察参选</w:t>
      </w:r>
      <w:r>
        <w:rPr>
          <w:rFonts w:hint="eastAsia" w:ascii="仿宋" w:hAnsi="仿宋" w:eastAsia="仿宋" w:cs="仿宋"/>
          <w:spacing w:val="20"/>
          <w:sz w:val="24"/>
          <w:lang w:eastAsia="zh-CN"/>
        </w:rPr>
        <w:t>机构</w:t>
      </w:r>
      <w:r>
        <w:rPr>
          <w:rFonts w:hint="eastAsia" w:ascii="仿宋" w:hAnsi="仿宋" w:eastAsia="仿宋" w:cs="仿宋"/>
          <w:spacing w:val="20"/>
          <w:sz w:val="24"/>
        </w:rPr>
        <w:t>的发行方案策划、发行进度安排、历史债券承销案例、现场驻扎团队实力、本项目重视程度、债券发行业务经验及整体发行成本等相关方面。</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3.通过评审专家组科学、合理、规范、透明的综合评估和讨论商议后，确定主承销商候选人。</w:t>
      </w:r>
    </w:p>
    <w:p>
      <w:pPr>
        <w:pStyle w:val="4"/>
        <w:spacing w:before="0" w:after="0" w:line="360" w:lineRule="auto"/>
        <w:jc w:val="center"/>
        <w:rPr>
          <w:rFonts w:hint="eastAsia" w:eastAsia="楷体"/>
          <w:spacing w:val="20"/>
        </w:rPr>
      </w:pPr>
      <w:r>
        <w:rPr>
          <w:rFonts w:hint="eastAsia" w:eastAsia="楷体"/>
          <w:spacing w:val="20"/>
          <w:sz w:val="24"/>
        </w:rPr>
        <w:br w:type="page"/>
      </w:r>
      <w:bookmarkStart w:id="14" w:name="_Toc30732"/>
      <w:bookmarkStart w:id="15" w:name="_Hlk51020105"/>
      <w:r>
        <w:rPr>
          <w:rFonts w:hint="eastAsia" w:eastAsia="楷体"/>
          <w:sz w:val="32"/>
          <w:szCs w:val="32"/>
        </w:rPr>
        <w:t>第四章  评审标准</w:t>
      </w:r>
      <w:bookmarkEnd w:id="14"/>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评审专家组成员从下述方面对参选</w:t>
      </w:r>
      <w:r>
        <w:rPr>
          <w:rFonts w:hint="eastAsia" w:ascii="仿宋" w:hAnsi="仿宋" w:eastAsia="仿宋" w:cs="仿宋"/>
          <w:spacing w:val="20"/>
          <w:sz w:val="24"/>
          <w:lang w:eastAsia="zh-CN"/>
        </w:rPr>
        <w:t>机构</w:t>
      </w:r>
      <w:r>
        <w:rPr>
          <w:rFonts w:hint="eastAsia" w:ascii="仿宋" w:hAnsi="仿宋" w:eastAsia="仿宋" w:cs="仿宋"/>
          <w:spacing w:val="20"/>
          <w:sz w:val="24"/>
        </w:rPr>
        <w:t>进行综合评估:</w:t>
      </w:r>
    </w:p>
    <w:tbl>
      <w:tblPr>
        <w:tblStyle w:val="17"/>
        <w:tblW w:w="0" w:type="auto"/>
        <w:tblInd w:w="113" w:type="dxa"/>
        <w:tblLayout w:type="fixed"/>
        <w:tblCellMar>
          <w:top w:w="0" w:type="dxa"/>
          <w:left w:w="108" w:type="dxa"/>
          <w:bottom w:w="0" w:type="dxa"/>
          <w:right w:w="108" w:type="dxa"/>
        </w:tblCellMar>
      </w:tblPr>
      <w:tblGrid>
        <w:gridCol w:w="988"/>
        <w:gridCol w:w="1275"/>
        <w:gridCol w:w="5387"/>
        <w:gridCol w:w="720"/>
      </w:tblGrid>
      <w:tr>
        <w:tblPrEx>
          <w:tblCellMar>
            <w:top w:w="0" w:type="dxa"/>
            <w:left w:w="108" w:type="dxa"/>
            <w:bottom w:w="0" w:type="dxa"/>
            <w:right w:w="108" w:type="dxa"/>
          </w:tblCellMar>
        </w:tblPrEx>
        <w:trPr>
          <w:trHeight w:val="280" w:hRule="atLeast"/>
        </w:trPr>
        <w:tc>
          <w:tcPr>
            <w:tcW w:w="226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评分项</w:t>
            </w:r>
          </w:p>
        </w:tc>
        <w:tc>
          <w:tcPr>
            <w:tcW w:w="538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内容</w:t>
            </w:r>
          </w:p>
        </w:tc>
        <w:tc>
          <w:tcPr>
            <w:tcW w:w="720" w:type="dxa"/>
            <w:tcBorders>
              <w:top w:val="single" w:color="auto" w:sz="4" w:space="0"/>
              <w:left w:val="nil"/>
              <w:bottom w:val="single" w:color="auto" w:sz="4" w:space="0"/>
              <w:right w:val="single" w:color="auto" w:sz="4" w:space="0"/>
            </w:tcBorders>
            <w:noWrap/>
            <w:vAlign w:val="center"/>
          </w:tcPr>
          <w:p>
            <w:pPr>
              <w:widowControl/>
              <w:jc w:val="both"/>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分值</w:t>
            </w:r>
          </w:p>
        </w:tc>
      </w:tr>
      <w:tr>
        <w:tblPrEx>
          <w:tblCellMar>
            <w:top w:w="0" w:type="dxa"/>
            <w:left w:w="108" w:type="dxa"/>
            <w:bottom w:w="0" w:type="dxa"/>
            <w:right w:w="108" w:type="dxa"/>
          </w:tblCellMar>
        </w:tblPrEx>
        <w:trPr>
          <w:trHeight w:val="560" w:hRule="atLeast"/>
        </w:trPr>
        <w:tc>
          <w:tcPr>
            <w:tcW w:w="988" w:type="dxa"/>
            <w:vMerge w:val="restart"/>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综合实力</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总体债券业绩</w:t>
            </w:r>
          </w:p>
        </w:tc>
        <w:tc>
          <w:tcPr>
            <w:tcW w:w="5387" w:type="dxa"/>
            <w:tcBorders>
              <w:top w:val="nil"/>
              <w:left w:val="nil"/>
              <w:bottom w:val="single" w:color="auto" w:sz="4" w:space="0"/>
              <w:right w:val="single" w:color="auto" w:sz="4" w:space="0"/>
            </w:tcBorders>
            <w:noWrap w:val="0"/>
            <w:vAlign w:val="center"/>
          </w:tcPr>
          <w:p>
            <w:pPr>
              <w:keepNext w:val="0"/>
              <w:keepLines w:val="0"/>
              <w:widowControl/>
              <w:suppressLineNumbers w:val="0"/>
              <w:ind w:firstLine="400" w:firstLineChars="200"/>
              <w:jc w:val="left"/>
              <w:rPr>
                <w:rFonts w:hint="eastAsia" w:ascii="仿宋" w:hAnsi="仿宋" w:eastAsia="仿宋" w:cs="仿宋"/>
                <w:highlight w:val="none"/>
              </w:rPr>
            </w:pPr>
            <w:r>
              <w:rPr>
                <w:rFonts w:hint="eastAsia" w:ascii="仿宋" w:hAnsi="仿宋" w:eastAsia="仿宋" w:cs="仿宋"/>
                <w:color w:val="000000"/>
                <w:kern w:val="0"/>
                <w:sz w:val="20"/>
                <w:szCs w:val="20"/>
                <w:lang w:val="en-US" w:eastAsia="zh-CN" w:bidi="ar"/>
              </w:rPr>
              <w:t>1、2023年1月1日至2023年12月31日，投标人在</w:t>
            </w:r>
            <w:r>
              <w:rPr>
                <w:rFonts w:hint="eastAsia" w:ascii="仿宋" w:hAnsi="仿宋" w:eastAsia="仿宋" w:cs="仿宋"/>
                <w:color w:val="000000"/>
                <w:kern w:val="0"/>
                <w:sz w:val="20"/>
                <w:szCs w:val="20"/>
                <w:highlight w:val="none"/>
                <w:lang w:val="en-US" w:eastAsia="zh-CN" w:bidi="ar"/>
              </w:rPr>
              <w:t xml:space="preserve">安徽省内承销债务融资工具承销总金额： </w:t>
            </w:r>
          </w:p>
          <w:p>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0"/>
                <w:szCs w:val="20"/>
                <w:highlight w:val="none"/>
                <w:lang w:val="en-US" w:eastAsia="zh-CN" w:bidi="ar"/>
              </w:rPr>
              <w:t xml:space="preserve">250亿元（含）以上得15分；200亿元（含）-250亿元（不含）的得10分；150亿元（含）-200亿元（不含）的得5分；低于150亿得0分。 </w:t>
            </w:r>
          </w:p>
          <w:p>
            <w:pPr>
              <w:widowControl/>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Wind数据统计途径：一级市场-承销统计-债券承销分地域排名，标注时间段（2023-01-01至2023-12-31），债券类型勾选NAFMII，选择合并母子公司，选择安徽区域，提取数据。提供Wind截图。</w:t>
            </w:r>
          </w:p>
          <w:p>
            <w:pPr>
              <w:keepNext w:val="0"/>
              <w:keepLines w:val="0"/>
              <w:widowControl/>
              <w:suppressLineNumbers w:val="0"/>
              <w:ind w:firstLine="400" w:firstLineChars="200"/>
              <w:jc w:val="left"/>
              <w:rPr>
                <w:rFonts w:hint="eastAsia" w:ascii="仿宋" w:hAnsi="仿宋" w:eastAsia="仿宋" w:cs="仿宋"/>
                <w:highlight w:val="none"/>
              </w:rPr>
            </w:pPr>
            <w:r>
              <w:rPr>
                <w:rFonts w:hint="eastAsia" w:ascii="仿宋" w:hAnsi="仿宋" w:eastAsia="仿宋" w:cs="仿宋"/>
                <w:color w:val="000000"/>
                <w:kern w:val="0"/>
                <w:sz w:val="20"/>
                <w:szCs w:val="20"/>
                <w:highlight w:val="none"/>
                <w:lang w:val="en-US" w:eastAsia="zh-CN" w:bidi="ar"/>
              </w:rPr>
              <w:t xml:space="preserve">2、2023年1月1日至 2023年12月31日，投标人在安徽省内承销债务融资工具只数： </w:t>
            </w:r>
          </w:p>
          <w:p>
            <w:pPr>
              <w:keepNext w:val="0"/>
              <w:keepLines w:val="0"/>
              <w:widowControl/>
              <w:suppressLineNumbers w:val="0"/>
              <w:jc w:val="left"/>
              <w:rPr>
                <w:rFonts w:hint="eastAsia" w:ascii="仿宋" w:hAnsi="仿宋" w:eastAsia="仿宋" w:cs="仿宋"/>
                <w:highlight w:val="none"/>
              </w:rPr>
            </w:pPr>
            <w:r>
              <w:rPr>
                <w:rFonts w:hint="eastAsia" w:ascii="仿宋" w:hAnsi="仿宋" w:eastAsia="仿宋" w:cs="仿宋"/>
                <w:color w:val="000000"/>
                <w:kern w:val="0"/>
                <w:sz w:val="20"/>
                <w:szCs w:val="20"/>
                <w:highlight w:val="none"/>
                <w:lang w:val="en-US" w:eastAsia="zh-CN" w:bidi="ar"/>
              </w:rPr>
              <w:t xml:space="preserve">70只（含）以上得15分；60只（含）-69只以上得10分； </w:t>
            </w:r>
          </w:p>
          <w:p>
            <w:pPr>
              <w:keepNext w:val="0"/>
              <w:keepLines w:val="0"/>
              <w:widowControl/>
              <w:suppressLineNumbers w:val="0"/>
              <w:jc w:val="left"/>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50只（含）-59只以上得5分；50只以下得0分。</w:t>
            </w:r>
          </w:p>
          <w:p>
            <w:pPr>
              <w:widowControl/>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w:t>
            </w:r>
            <w:r>
              <w:rPr>
                <w:rFonts w:hint="eastAsia" w:ascii="仿宋" w:hAnsi="仿宋" w:eastAsia="仿宋" w:cs="仿宋"/>
                <w:color w:val="000000"/>
                <w:kern w:val="0"/>
                <w:sz w:val="24"/>
              </w:rPr>
              <w:t>Wind</w:t>
            </w:r>
            <w:r>
              <w:rPr>
                <w:rFonts w:hint="eastAsia" w:ascii="仿宋" w:hAnsi="仿宋" w:eastAsia="仿宋" w:cs="仿宋"/>
                <w:b/>
                <w:bCs/>
                <w:color w:val="auto"/>
                <w:sz w:val="21"/>
                <w:szCs w:val="21"/>
                <w:highlight w:val="none"/>
                <w:lang w:val="en-US" w:eastAsia="zh-CN"/>
              </w:rPr>
              <w:t>数据统计途径：一级市场-承销统计-债券承销分地域排名，标注时间段（2023-01-01至2023-12-31），债券类型勾选NAFMII，选择合并母子公司，选择安徽区域，提取数据。提供Wind截图。</w:t>
            </w:r>
          </w:p>
        </w:tc>
        <w:tc>
          <w:tcPr>
            <w:tcW w:w="7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30</w:t>
            </w:r>
          </w:p>
        </w:tc>
      </w:tr>
      <w:tr>
        <w:tblPrEx>
          <w:tblCellMar>
            <w:top w:w="0" w:type="dxa"/>
            <w:left w:w="108" w:type="dxa"/>
            <w:bottom w:w="0" w:type="dxa"/>
            <w:right w:w="108" w:type="dxa"/>
          </w:tblCellMar>
        </w:tblPrEx>
        <w:trPr>
          <w:trHeight w:val="4435" w:hRule="atLeast"/>
        </w:trPr>
        <w:tc>
          <w:tcPr>
            <w:tcW w:w="98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地域债券业绩</w:t>
            </w:r>
          </w:p>
        </w:tc>
        <w:tc>
          <w:tcPr>
            <w:tcW w:w="5387" w:type="dxa"/>
            <w:tcBorders>
              <w:top w:val="nil"/>
              <w:left w:val="nil"/>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105" w:rightChars="50" w:firstLine="0" w:firstLineChars="0"/>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（1）信贷支持力度（5分）：根据2023年1月-2023年12月参选机构在宿州地区的各项贷款投放情况，最多的得5分，后每降一个排名递减2分，直至0分为止，无信贷支持的不得分。</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right="105" w:rightChars="50" w:firstLine="0" w:firstLineChars="0"/>
              <w:jc w:val="left"/>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（2）萧县地区平台支持力度（5分）：根据2023年1月-2023年12月参选机构对萧县辖内平台公司有过授信，并成功发放过各类融资业务况，最多的得5分，后每降一个排名递减2分，直至0分为止，无融资支持的不得分。</w:t>
            </w:r>
          </w:p>
          <w:p>
            <w:pPr>
              <w:rPr>
                <w:rFonts w:hint="eastAsia" w:ascii="仿宋" w:hAnsi="仿宋" w:eastAsia="仿宋" w:cs="仿宋"/>
                <w:color w:val="000000"/>
                <w:kern w:val="0"/>
                <w:sz w:val="24"/>
              </w:rPr>
            </w:pPr>
            <w:r>
              <w:rPr>
                <w:rFonts w:hint="eastAsia" w:ascii="仿宋" w:hAnsi="仿宋" w:eastAsia="仿宋" w:cs="仿宋"/>
                <w:color w:val="auto"/>
                <w:szCs w:val="21"/>
                <w:highlight w:val="none"/>
                <w:lang w:val="en-US" w:eastAsia="zh-CN"/>
              </w:rPr>
              <w:t>（3）</w:t>
            </w:r>
            <w:r>
              <w:rPr>
                <w:rFonts w:hint="eastAsia" w:ascii="仿宋" w:hAnsi="仿宋" w:eastAsia="仿宋" w:cs="仿宋"/>
                <w:strike w:val="0"/>
                <w:dstrike w:val="0"/>
                <w:color w:val="auto"/>
                <w:sz w:val="21"/>
                <w:szCs w:val="21"/>
                <w:highlight w:val="none"/>
                <w:lang w:val="en-US" w:eastAsia="zh-CN"/>
              </w:rPr>
              <w:t>参选机构历年来年对萧县区域发行的债券，投资金额在5亿（含）及以上得5分，投资金额在3亿（含）-5亿得3分，投资金额在1亿（含）-3亿得1分，投资少于1亿金额不得分。</w:t>
            </w:r>
          </w:p>
        </w:tc>
        <w:tc>
          <w:tcPr>
            <w:tcW w:w="7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15</w:t>
            </w:r>
          </w:p>
        </w:tc>
      </w:tr>
      <w:tr>
        <w:tblPrEx>
          <w:tblCellMar>
            <w:top w:w="0" w:type="dxa"/>
            <w:left w:w="108" w:type="dxa"/>
            <w:bottom w:w="0" w:type="dxa"/>
            <w:right w:w="108" w:type="dxa"/>
          </w:tblCellMar>
        </w:tblPrEx>
        <w:trPr>
          <w:trHeight w:val="280" w:hRule="atLeast"/>
        </w:trPr>
        <w:tc>
          <w:tcPr>
            <w:tcW w:w="98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4"/>
              </w:rPr>
            </w:pP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auto"/>
                <w:sz w:val="21"/>
                <w:szCs w:val="21"/>
                <w:highlight w:val="none"/>
                <w:lang w:val="en-US" w:eastAsia="zh-CN"/>
              </w:rPr>
              <w:t>风险控制情况</w:t>
            </w:r>
          </w:p>
        </w:tc>
        <w:tc>
          <w:tcPr>
            <w:tcW w:w="538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 xml:space="preserve">根据中国银行间市场交易商协会发布的投标人2020年1月1日至2023年12月31日受到银行间债券市场自律处分次数情况进行评分，未受到自律处分的，得5分；每受 到1次自律处分，扣3分，扣完为止。 </w:t>
            </w:r>
          </w:p>
          <w:p>
            <w:pPr>
              <w:keepNext w:val="0"/>
              <w:keepLines w:val="0"/>
              <w:widowControl/>
              <w:suppressLineNumbers w:val="0"/>
              <w:jc w:val="left"/>
              <w:rPr>
                <w:rFonts w:hint="eastAsia" w:ascii="仿宋" w:hAnsi="仿宋" w:eastAsia="仿宋" w:cs="仿宋"/>
              </w:rPr>
            </w:pPr>
            <w:r>
              <w:rPr>
                <w:rFonts w:hint="eastAsia" w:ascii="仿宋" w:hAnsi="仿宋" w:eastAsia="仿宋" w:cs="仿宋"/>
                <w:b/>
                <w:bCs/>
                <w:color w:val="000000"/>
                <w:kern w:val="0"/>
                <w:sz w:val="20"/>
                <w:szCs w:val="20"/>
                <w:lang w:val="en-US" w:eastAsia="zh-CN" w:bidi="ar"/>
              </w:rPr>
              <w:t xml:space="preserve">注：交易商协会官网→自律→自律处分概览→处分对象栏录入投标人总行全称，处分措施栏选择“全部”，起始时间选择“2020年1月1日”，终止时间选择2023年12月31日。 </w:t>
            </w:r>
          </w:p>
          <w:p>
            <w:pPr>
              <w:widowControl/>
              <w:rPr>
                <w:rFonts w:hint="eastAsia" w:ascii="仿宋" w:hAnsi="仿宋" w:eastAsia="仿宋" w:cs="仿宋"/>
                <w:color w:val="000000"/>
                <w:kern w:val="0"/>
                <w:sz w:val="24"/>
              </w:rPr>
            </w:pPr>
            <w:r>
              <w:rPr>
                <w:rFonts w:hint="eastAsia" w:ascii="仿宋" w:hAnsi="仿宋" w:eastAsia="仿宋" w:cs="仿宋"/>
                <w:b/>
                <w:bCs/>
                <w:color w:val="000000"/>
                <w:kern w:val="0"/>
                <w:sz w:val="20"/>
                <w:szCs w:val="20"/>
                <w:lang w:val="en-US" w:eastAsia="zh-CN" w:bidi="ar"/>
              </w:rPr>
              <w:t>投标文件中提供交易商协会网页截图并加盖投标人公章（或电子签章），供评标委员会评审，时间、类型、处分 对象、处分日期清晰可见，否则为无效证明材料，不予以认可。</w:t>
            </w:r>
          </w:p>
        </w:tc>
        <w:tc>
          <w:tcPr>
            <w:tcW w:w="7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w:t>
            </w:r>
          </w:p>
        </w:tc>
      </w:tr>
      <w:tr>
        <w:tblPrEx>
          <w:tblCellMar>
            <w:top w:w="0" w:type="dxa"/>
            <w:left w:w="108" w:type="dxa"/>
            <w:bottom w:w="0" w:type="dxa"/>
            <w:right w:w="108" w:type="dxa"/>
          </w:tblCellMar>
        </w:tblPrEx>
        <w:trPr>
          <w:trHeight w:val="1371" w:hRule="atLeast"/>
        </w:trPr>
        <w:tc>
          <w:tcPr>
            <w:tcW w:w="988" w:type="dxa"/>
            <w:tcBorders>
              <w:top w:val="nil"/>
              <w:left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服务方案</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申报及承销方案</w:t>
            </w:r>
          </w:p>
        </w:tc>
        <w:tc>
          <w:tcPr>
            <w:tcW w:w="5387" w:type="dxa"/>
            <w:tcBorders>
              <w:top w:val="single" w:color="auto" w:sz="4" w:space="0"/>
              <w:left w:val="nil"/>
              <w:bottom w:val="single" w:color="auto" w:sz="4" w:space="0"/>
              <w:right w:val="single" w:color="auto" w:sz="4" w:space="0"/>
            </w:tcBorders>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投标人针对发行人实际情况提出合理化的发行方案，合理的工作计划和时间安排。具备良好的政策判断、经济预测和发行窗口把握能力，能够为发行人提供发行时机建议，提高融资效率。</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1、方案设计详实、具体、思路清晰、逻辑严谨、可操作性强得7分；方案设计较全面、具体、思路较明确、有可操作性得4分；有方案设计但不详细或不符合项目要求得1分；无相关内容不给分。</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人能针对债券发行人的实际情况提出合理化建议（包括发行架构、项目进度安排、发行窗口建议等）内容详细具体、操作性强得7分；较全面、具体、有可操作性得4分；有相关内容但内容缺少较多或不符合项目要求得1分；无相关内容不给分。</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3、投标人作为主承销商的组织与项目推进能力介绍强得7分；组织安排及推进能力介绍内容一般得4分，有相关内容得1分，无相关内容不得分。</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就本次发行募集资金提供风险分析及风险管理方案全面、合理、切实可行得7分；就本次发行募集资金提供风险分析及风险管理方案内容较为详实、基本可行得4分；有相关分析分析及管理方案，但风险分析不全面或管理方案适用性差1分；无相关内容不得分。</w:t>
            </w:r>
          </w:p>
          <w:p>
            <w:pPr>
              <w:widowControl/>
              <w:ind w:firstLine="420" w:firstLineChars="200"/>
              <w:rPr>
                <w:rFonts w:hint="eastAsia" w:ascii="仿宋" w:hAnsi="仿宋" w:eastAsia="仿宋" w:cs="仿宋"/>
                <w:color w:val="000000"/>
                <w:kern w:val="0"/>
                <w:sz w:val="24"/>
              </w:rPr>
            </w:pPr>
            <w:r>
              <w:rPr>
                <w:rFonts w:hint="eastAsia" w:ascii="仿宋" w:hAnsi="仿宋" w:eastAsia="仿宋" w:cs="仿宋"/>
                <w:color w:val="auto"/>
                <w:sz w:val="21"/>
                <w:szCs w:val="21"/>
                <w:highlight w:val="none"/>
                <w:lang w:val="en-US" w:eastAsia="zh-CN"/>
              </w:rPr>
              <w:t>5、就如何加快债券发行申请的审批速度及相应资源投入提出了措施全面、合理、切实可行得7分；就如何加快债券发行申请的审批速度及相应资源投入提出了措施较为详实、基本可行得4分，就如何加快债券发行申请的审批速度及相应资源投入提出了措施，但是相应措施力度一般，得1分；无相关内容不得分</w:t>
            </w:r>
          </w:p>
        </w:tc>
        <w:tc>
          <w:tcPr>
            <w:tcW w:w="7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35</w:t>
            </w:r>
          </w:p>
        </w:tc>
      </w:tr>
      <w:tr>
        <w:tblPrEx>
          <w:tblCellMar>
            <w:top w:w="0" w:type="dxa"/>
            <w:left w:w="108" w:type="dxa"/>
            <w:bottom w:w="0" w:type="dxa"/>
            <w:right w:w="108" w:type="dxa"/>
          </w:tblCellMar>
        </w:tblPrEx>
        <w:trPr>
          <w:trHeight w:val="280" w:hRule="atLeast"/>
        </w:trPr>
        <w:tc>
          <w:tcPr>
            <w:tcW w:w="988" w:type="dxa"/>
            <w:vMerge w:val="restart"/>
            <w:tcBorders>
              <w:top w:val="nil"/>
              <w:left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履约</w:t>
            </w:r>
          </w:p>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报价</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报价</w:t>
            </w:r>
            <w:r>
              <w:rPr>
                <w:rFonts w:hint="eastAsia" w:ascii="仿宋" w:hAnsi="仿宋" w:eastAsia="仿宋" w:cs="仿宋"/>
                <w:color w:val="000000"/>
                <w:kern w:val="0"/>
                <w:sz w:val="24"/>
              </w:rPr>
              <w:t>费率</w:t>
            </w:r>
          </w:p>
        </w:tc>
        <w:tc>
          <w:tcPr>
            <w:tcW w:w="5387" w:type="dxa"/>
            <w:tcBorders>
              <w:top w:val="nil"/>
              <w:left w:val="nil"/>
              <w:bottom w:val="single" w:color="auto" w:sz="4" w:space="0"/>
              <w:right w:val="single" w:color="auto" w:sz="4" w:space="0"/>
            </w:tcBorders>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1、总承销费报价最高不超过发行金额的0.5%，超过上限的按照废标处理；</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2、投标报价应符合中国证券业协会《公司债券承销报价内部约束指引》的相关规定；</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3、评标基准价为本次投标最低报价；</w:t>
            </w:r>
          </w:p>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4、投标报价得分=10-（投标报价-评标基准价）/评标基准价*0.1，取两位小数。</w:t>
            </w:r>
          </w:p>
        </w:tc>
        <w:tc>
          <w:tcPr>
            <w:tcW w:w="7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0</w:t>
            </w:r>
          </w:p>
        </w:tc>
      </w:tr>
      <w:tr>
        <w:tblPrEx>
          <w:tblCellMar>
            <w:top w:w="0" w:type="dxa"/>
            <w:left w:w="108" w:type="dxa"/>
            <w:bottom w:w="0" w:type="dxa"/>
            <w:right w:w="108" w:type="dxa"/>
          </w:tblCellMar>
        </w:tblPrEx>
        <w:trPr>
          <w:trHeight w:val="280" w:hRule="atLeast"/>
        </w:trPr>
        <w:tc>
          <w:tcPr>
            <w:tcW w:w="988"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rPr>
            </w:pP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履约保证金</w:t>
            </w:r>
          </w:p>
        </w:tc>
        <w:tc>
          <w:tcPr>
            <w:tcW w:w="5387" w:type="dxa"/>
            <w:tcBorders>
              <w:top w:val="nil"/>
              <w:left w:val="nil"/>
              <w:bottom w:val="single" w:color="auto" w:sz="4" w:space="0"/>
              <w:right w:val="single" w:color="auto" w:sz="4" w:space="0"/>
            </w:tcBorders>
            <w:noWrap/>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105" w:leftChars="50" w:right="105" w:rightChars="50" w:firstLine="420" w:firstLineChars="20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1、承诺缴纳履约保证金（现金或保函，5亿*中标承销费率*10%</w:t>
            </w:r>
            <w:bookmarkStart w:id="30" w:name="_GoBack"/>
            <w:bookmarkEnd w:id="30"/>
            <w:r>
              <w:rPr>
                <w:rFonts w:hint="eastAsia" w:ascii="仿宋" w:hAnsi="仿宋" w:eastAsia="仿宋" w:cs="仿宋"/>
                <w:color w:val="auto"/>
                <w:sz w:val="21"/>
                <w:szCs w:val="21"/>
                <w:highlight w:val="none"/>
                <w:lang w:val="en-US" w:eastAsia="zh-CN"/>
              </w:rPr>
              <w:t>）得5分，不承诺缴纳履约保证金得0分。承诺函格式见附件。</w:t>
            </w:r>
          </w:p>
        </w:tc>
        <w:tc>
          <w:tcPr>
            <w:tcW w:w="7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5</w:t>
            </w:r>
          </w:p>
        </w:tc>
      </w:tr>
      <w:tr>
        <w:tblPrEx>
          <w:tblCellMar>
            <w:top w:w="0" w:type="dxa"/>
            <w:left w:w="108" w:type="dxa"/>
            <w:bottom w:w="0" w:type="dxa"/>
            <w:right w:w="108" w:type="dxa"/>
          </w:tblCellMar>
        </w:tblPrEx>
        <w:trPr>
          <w:trHeight w:val="280" w:hRule="atLeast"/>
        </w:trPr>
        <w:tc>
          <w:tcPr>
            <w:tcW w:w="988"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总分</w:t>
            </w:r>
          </w:p>
        </w:tc>
        <w:tc>
          <w:tcPr>
            <w:tcW w:w="1275"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rPr>
            </w:pPr>
          </w:p>
        </w:tc>
        <w:tc>
          <w:tcPr>
            <w:tcW w:w="5387" w:type="dxa"/>
            <w:tcBorders>
              <w:top w:val="nil"/>
              <w:left w:val="nil"/>
              <w:bottom w:val="single" w:color="auto" w:sz="4" w:space="0"/>
              <w:right w:val="single" w:color="auto" w:sz="4" w:space="0"/>
            </w:tcBorders>
            <w:noWrap/>
            <w:vAlign w:val="center"/>
          </w:tcPr>
          <w:p>
            <w:pPr>
              <w:widowControl/>
              <w:rPr>
                <w:rFonts w:hint="eastAsia" w:ascii="仿宋" w:hAnsi="仿宋" w:eastAsia="仿宋" w:cs="仿宋"/>
                <w:b/>
                <w:bCs/>
                <w:color w:val="000000"/>
                <w:kern w:val="0"/>
                <w:sz w:val="24"/>
              </w:rPr>
            </w:pPr>
          </w:p>
        </w:tc>
        <w:tc>
          <w:tcPr>
            <w:tcW w:w="7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100</w:t>
            </w:r>
          </w:p>
        </w:tc>
      </w:tr>
    </w:tbl>
    <w:p>
      <w:pPr>
        <w:spacing w:line="360" w:lineRule="auto"/>
        <w:rPr>
          <w:rFonts w:hint="eastAsia" w:ascii="仿宋" w:hAnsi="仿宋" w:eastAsia="仿宋" w:cs="仿宋"/>
          <w:spacing w:val="20"/>
          <w:sz w:val="24"/>
        </w:rPr>
      </w:pPr>
      <w:r>
        <w:rPr>
          <w:rFonts w:hint="eastAsia" w:ascii="仿宋" w:hAnsi="仿宋" w:eastAsia="仿宋" w:cs="仿宋"/>
          <w:spacing w:val="20"/>
          <w:sz w:val="24"/>
        </w:rPr>
        <w:t>注：各投标人的最终得分计算方式为：各评委对其总评分的算术平均值。</w:t>
      </w:r>
    </w:p>
    <w:bookmarkEnd w:id="15"/>
    <w:p>
      <w:pPr>
        <w:pStyle w:val="4"/>
        <w:jc w:val="center"/>
        <w:rPr>
          <w:rFonts w:hint="eastAsia" w:ascii="黑体" w:hAnsi="黑体" w:eastAsia="黑体" w:cs="黑体"/>
          <w:b w:val="0"/>
          <w:bCs w:val="0"/>
          <w:sz w:val="28"/>
          <w:szCs w:val="28"/>
        </w:rPr>
      </w:pPr>
      <w:r>
        <w:rPr>
          <w:rFonts w:hint="eastAsia" w:eastAsia="楷体"/>
          <w:sz w:val="32"/>
          <w:szCs w:val="32"/>
        </w:rPr>
        <w:br w:type="page"/>
      </w:r>
      <w:bookmarkStart w:id="16" w:name="_Toc30590"/>
      <w:r>
        <w:rPr>
          <w:rFonts w:hint="eastAsia" w:ascii="黑体" w:hAnsi="黑体" w:eastAsia="黑体" w:cs="黑体"/>
          <w:b w:val="0"/>
          <w:bCs w:val="0"/>
          <w:sz w:val="32"/>
          <w:szCs w:val="32"/>
        </w:rPr>
        <w:t>第五章  参选公司需提交的资料</w:t>
      </w:r>
      <w:bookmarkEnd w:id="16"/>
    </w:p>
    <w:p>
      <w:pPr>
        <w:wordWrap w:val="0"/>
        <w:spacing w:line="560" w:lineRule="exact"/>
        <w:jc w:val="center"/>
        <w:rPr>
          <w:rFonts w:hint="eastAsia" w:eastAsia="方正小标宋简体"/>
          <w:sz w:val="44"/>
          <w:szCs w:val="44"/>
          <w:lang w:val="en-US" w:eastAsia="zh-CN"/>
        </w:rPr>
      </w:pPr>
      <w:r>
        <w:rPr>
          <w:rFonts w:eastAsia="方正小标宋简体"/>
          <w:sz w:val="44"/>
          <w:szCs w:val="44"/>
        </w:rPr>
        <w:t>萧县</w:t>
      </w:r>
      <w:r>
        <w:rPr>
          <w:rFonts w:hint="eastAsia" w:eastAsia="方正小标宋简体"/>
          <w:sz w:val="44"/>
          <w:szCs w:val="44"/>
          <w:lang w:val="en-US" w:eastAsia="zh-CN"/>
        </w:rPr>
        <w:t>交通投资有限责任公司</w:t>
      </w:r>
    </w:p>
    <w:p>
      <w:pPr>
        <w:wordWrap w:val="0"/>
        <w:spacing w:line="560" w:lineRule="exact"/>
        <w:jc w:val="center"/>
        <w:rPr>
          <w:rFonts w:hint="eastAsia" w:eastAsia="方正小标宋简体"/>
          <w:sz w:val="44"/>
          <w:szCs w:val="44"/>
          <w:lang w:eastAsia="zh-CN"/>
        </w:rPr>
      </w:pPr>
      <w:r>
        <w:rPr>
          <w:rFonts w:eastAsia="方正小标宋简体"/>
          <w:sz w:val="44"/>
          <w:szCs w:val="44"/>
        </w:rPr>
        <w:t>2024年</w:t>
      </w:r>
      <w:r>
        <w:rPr>
          <w:rFonts w:hint="eastAsia" w:eastAsia="方正小标宋简体"/>
          <w:sz w:val="44"/>
          <w:szCs w:val="44"/>
          <w:lang w:eastAsia="zh-CN"/>
        </w:rPr>
        <w:t>非公开</w:t>
      </w:r>
      <w:r>
        <w:rPr>
          <w:rFonts w:hint="eastAsia" w:eastAsia="方正小标宋简体"/>
          <w:sz w:val="44"/>
          <w:szCs w:val="44"/>
          <w:lang w:val="en-US" w:eastAsia="zh-CN"/>
        </w:rPr>
        <w:t>发行</w:t>
      </w:r>
      <w:r>
        <w:rPr>
          <w:rFonts w:hint="eastAsia" w:eastAsia="方正小标宋简体"/>
          <w:sz w:val="44"/>
          <w:szCs w:val="44"/>
          <w:lang w:eastAsia="zh-CN"/>
        </w:rPr>
        <w:t>定向债务融资工具（PPN）</w:t>
      </w:r>
    </w:p>
    <w:p>
      <w:pPr>
        <w:wordWrap w:val="0"/>
        <w:spacing w:line="560" w:lineRule="exact"/>
        <w:jc w:val="center"/>
        <w:rPr>
          <w:rFonts w:eastAsia="方正小标宋简体"/>
          <w:sz w:val="44"/>
          <w:szCs w:val="44"/>
        </w:rPr>
      </w:pPr>
      <w:r>
        <w:rPr>
          <w:rFonts w:eastAsia="方正小标宋简体"/>
          <w:sz w:val="44"/>
          <w:szCs w:val="44"/>
        </w:rPr>
        <w:t>主承销商</w:t>
      </w:r>
    </w:p>
    <w:p>
      <w:pPr>
        <w:jc w:val="center"/>
        <w:rPr>
          <w:rFonts w:eastAsia="方正小标宋简体"/>
          <w:sz w:val="96"/>
          <w:szCs w:val="96"/>
        </w:rPr>
      </w:pPr>
      <w:r>
        <w:rPr>
          <w:rFonts w:eastAsia="方正小标宋简体"/>
          <w:sz w:val="96"/>
          <w:szCs w:val="96"/>
        </w:rPr>
        <w:t>投</w:t>
      </w:r>
    </w:p>
    <w:p>
      <w:pPr>
        <w:wordWrap w:val="0"/>
        <w:spacing w:line="240" w:lineRule="exact"/>
        <w:jc w:val="center"/>
        <w:rPr>
          <w:rFonts w:eastAsia="方正小标宋简体"/>
          <w:sz w:val="96"/>
          <w:szCs w:val="96"/>
        </w:rPr>
      </w:pPr>
    </w:p>
    <w:p>
      <w:pPr>
        <w:wordWrap w:val="0"/>
        <w:jc w:val="center"/>
        <w:rPr>
          <w:rFonts w:eastAsia="方正小标宋简体"/>
          <w:sz w:val="96"/>
          <w:szCs w:val="96"/>
        </w:rPr>
      </w:pPr>
      <w:r>
        <w:rPr>
          <w:rFonts w:eastAsia="方正小标宋简体"/>
          <w:sz w:val="96"/>
          <w:szCs w:val="96"/>
        </w:rPr>
        <w:t>标</w:t>
      </w:r>
    </w:p>
    <w:p>
      <w:pPr>
        <w:wordWrap w:val="0"/>
        <w:spacing w:line="240" w:lineRule="exact"/>
        <w:jc w:val="center"/>
        <w:rPr>
          <w:rFonts w:eastAsia="方正小标宋简体"/>
          <w:sz w:val="96"/>
          <w:szCs w:val="96"/>
        </w:rPr>
      </w:pPr>
    </w:p>
    <w:p>
      <w:pPr>
        <w:wordWrap w:val="0"/>
        <w:jc w:val="center"/>
        <w:rPr>
          <w:rFonts w:eastAsia="方正小标宋简体"/>
          <w:sz w:val="96"/>
          <w:szCs w:val="96"/>
        </w:rPr>
      </w:pPr>
      <w:r>
        <w:rPr>
          <w:rFonts w:eastAsia="方正小标宋简体"/>
          <w:sz w:val="96"/>
          <w:szCs w:val="96"/>
        </w:rPr>
        <w:t>文</w:t>
      </w:r>
    </w:p>
    <w:p>
      <w:pPr>
        <w:wordWrap w:val="0"/>
        <w:spacing w:line="240" w:lineRule="exact"/>
        <w:jc w:val="center"/>
        <w:rPr>
          <w:rFonts w:eastAsia="方正小标宋简体"/>
          <w:sz w:val="96"/>
          <w:szCs w:val="96"/>
        </w:rPr>
      </w:pPr>
    </w:p>
    <w:p>
      <w:pPr>
        <w:wordWrap w:val="0"/>
        <w:jc w:val="center"/>
        <w:rPr>
          <w:rFonts w:eastAsia="仿宋_GB2312"/>
          <w:sz w:val="32"/>
          <w:szCs w:val="32"/>
        </w:rPr>
      </w:pPr>
      <w:r>
        <w:rPr>
          <w:rFonts w:eastAsia="方正小标宋简体"/>
          <w:sz w:val="96"/>
          <w:szCs w:val="96"/>
        </w:rPr>
        <w:t>件</w:t>
      </w:r>
    </w:p>
    <w:p>
      <w:pPr>
        <w:wordWrap w:val="0"/>
        <w:spacing w:line="520" w:lineRule="exact"/>
        <w:jc w:val="center"/>
        <w:rPr>
          <w:rFonts w:eastAsia="黑体"/>
          <w:sz w:val="32"/>
          <w:szCs w:val="32"/>
        </w:rPr>
      </w:pPr>
      <w:r>
        <w:rPr>
          <w:rFonts w:eastAsia="黑体"/>
          <w:sz w:val="32"/>
          <w:szCs w:val="32"/>
        </w:rPr>
        <w:t>（正本/副本）</w:t>
      </w:r>
    </w:p>
    <w:p>
      <w:pPr>
        <w:wordWrap w:val="0"/>
        <w:spacing w:line="360" w:lineRule="exact"/>
        <w:jc w:val="center"/>
        <w:rPr>
          <w:rFonts w:eastAsia="仿宋_GB2312"/>
          <w:sz w:val="32"/>
          <w:szCs w:val="32"/>
        </w:rPr>
      </w:pPr>
    </w:p>
    <w:p>
      <w:pPr>
        <w:wordWrap w:val="0"/>
        <w:spacing w:line="360" w:lineRule="exact"/>
        <w:jc w:val="center"/>
        <w:rPr>
          <w:rFonts w:eastAsia="仿宋_GB2312"/>
          <w:sz w:val="32"/>
          <w:szCs w:val="32"/>
        </w:rPr>
      </w:pPr>
    </w:p>
    <w:p>
      <w:pPr>
        <w:wordWrap w:val="0"/>
        <w:spacing w:line="520" w:lineRule="exact"/>
        <w:rPr>
          <w:rFonts w:eastAsia="仿宋_GB2312"/>
          <w:sz w:val="32"/>
          <w:szCs w:val="32"/>
          <w:u w:val="single"/>
        </w:rPr>
      </w:pPr>
      <w:r>
        <w:rPr>
          <w:rFonts w:eastAsia="仿宋_GB2312"/>
          <w:sz w:val="32"/>
          <w:szCs w:val="32"/>
        </w:rPr>
        <w:t>投标人名称：</w:t>
      </w:r>
      <w:r>
        <w:rPr>
          <w:rFonts w:eastAsia="仿宋_GB2312"/>
          <w:sz w:val="32"/>
          <w:szCs w:val="32"/>
          <w:u w:val="single"/>
        </w:rPr>
        <w:t xml:space="preserve">                     （盖章）</w:t>
      </w:r>
    </w:p>
    <w:p>
      <w:pPr>
        <w:wordWrap w:val="0"/>
        <w:spacing w:line="520" w:lineRule="exact"/>
        <w:jc w:val="center"/>
        <w:rPr>
          <w:rFonts w:eastAsia="仿宋_GB2312"/>
          <w:sz w:val="32"/>
          <w:szCs w:val="32"/>
        </w:rPr>
      </w:pPr>
    </w:p>
    <w:p>
      <w:pPr>
        <w:wordWrap w:val="0"/>
        <w:spacing w:line="520" w:lineRule="exact"/>
        <w:jc w:val="center"/>
        <w:rPr>
          <w:rFonts w:eastAsia="仿宋_GB2312"/>
          <w:sz w:val="32"/>
          <w:szCs w:val="32"/>
        </w:rPr>
      </w:pPr>
      <w:r>
        <w:rPr>
          <w:rFonts w:eastAsia="仿宋_GB2312"/>
          <w:sz w:val="32"/>
          <w:szCs w:val="32"/>
        </w:rPr>
        <w:t>年   月   日</w:t>
      </w:r>
    </w:p>
    <w:p>
      <w:pPr>
        <w:spacing w:line="360" w:lineRule="auto"/>
        <w:rPr>
          <w:rFonts w:hint="eastAsia" w:ascii="仿宋" w:hAnsi="仿宋" w:eastAsia="仿宋" w:cs="仿宋"/>
          <w:spacing w:val="20"/>
          <w:sz w:val="24"/>
        </w:rPr>
      </w:pPr>
      <w:r>
        <w:rPr>
          <w:rFonts w:eastAsia="黑体"/>
          <w:sz w:val="32"/>
          <w:szCs w:val="32"/>
        </w:rPr>
        <w:br w:type="page"/>
      </w:r>
      <w:bookmarkStart w:id="17" w:name="_Hlk156460985"/>
      <w:r>
        <w:rPr>
          <w:rFonts w:hint="eastAsia" w:ascii="仿宋" w:hAnsi="仿宋" w:eastAsia="仿宋" w:cs="仿宋"/>
          <w:spacing w:val="20"/>
          <w:sz w:val="24"/>
        </w:rPr>
        <w:t>目录</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一、投标函</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二、法人代表身份证明及授权委托书</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三、《营业执照》复印件</w:t>
      </w:r>
    </w:p>
    <w:p>
      <w:pPr>
        <w:spacing w:line="360" w:lineRule="auto"/>
        <w:rPr>
          <w:rFonts w:hint="eastAsia" w:ascii="仿宋" w:hAnsi="仿宋" w:eastAsia="仿宋" w:cs="仿宋"/>
          <w:spacing w:val="20"/>
          <w:sz w:val="24"/>
          <w:lang w:val="en-US" w:eastAsia="zh-CN"/>
        </w:rPr>
      </w:pPr>
      <w:r>
        <w:rPr>
          <w:rFonts w:hint="eastAsia" w:ascii="仿宋" w:hAnsi="仿宋" w:eastAsia="仿宋" w:cs="仿宋"/>
          <w:spacing w:val="20"/>
          <w:sz w:val="24"/>
          <w:lang w:val="en-US" w:eastAsia="zh-CN"/>
        </w:rPr>
        <w:t>四</w:t>
      </w:r>
      <w:r>
        <w:rPr>
          <w:rFonts w:hint="eastAsia" w:ascii="仿宋" w:hAnsi="仿宋" w:eastAsia="仿宋" w:cs="仿宋"/>
          <w:spacing w:val="20"/>
          <w:sz w:val="24"/>
        </w:rPr>
        <w:t>、</w:t>
      </w:r>
      <w:r>
        <w:rPr>
          <w:rFonts w:hint="eastAsia" w:ascii="仿宋" w:hAnsi="仿宋" w:eastAsia="仿宋" w:cs="仿宋"/>
          <w:spacing w:val="20"/>
          <w:sz w:val="24"/>
          <w:lang w:val="en-US" w:eastAsia="zh-CN"/>
        </w:rPr>
        <w:t>2023年安徽区域内承销债务融资工具金额情况</w:t>
      </w:r>
    </w:p>
    <w:p>
      <w:pPr>
        <w:pStyle w:val="2"/>
        <w:ind w:left="0" w:leftChars="0" w:firstLine="0" w:firstLineChars="0"/>
        <w:rPr>
          <w:rFonts w:hint="eastAsia" w:ascii="仿宋" w:hAnsi="仿宋" w:eastAsia="仿宋" w:cs="仿宋"/>
          <w:spacing w:val="20"/>
          <w:kern w:val="2"/>
          <w:sz w:val="24"/>
          <w:szCs w:val="24"/>
          <w:lang w:val="en-US" w:eastAsia="zh-CN" w:bidi="ar-SA"/>
        </w:rPr>
      </w:pPr>
      <w:r>
        <w:rPr>
          <w:rFonts w:hint="eastAsia" w:ascii="仿宋" w:hAnsi="仿宋" w:eastAsia="仿宋" w:cs="仿宋"/>
          <w:spacing w:val="20"/>
          <w:kern w:val="2"/>
          <w:sz w:val="24"/>
          <w:szCs w:val="24"/>
          <w:lang w:val="en-US" w:eastAsia="zh-CN" w:bidi="ar-SA"/>
        </w:rPr>
        <w:t>五、2023年</w:t>
      </w:r>
      <w:r>
        <w:rPr>
          <w:rFonts w:hint="eastAsia" w:ascii="仿宋" w:hAnsi="仿宋" w:eastAsia="仿宋" w:cs="仿宋"/>
          <w:spacing w:val="20"/>
          <w:sz w:val="24"/>
          <w:lang w:val="en-US" w:eastAsia="zh-CN"/>
        </w:rPr>
        <w:t>安徽区域内承销债务融资工具只数情况</w:t>
      </w:r>
    </w:p>
    <w:p>
      <w:pPr>
        <w:spacing w:line="360" w:lineRule="auto"/>
        <w:rPr>
          <w:rFonts w:hint="eastAsia" w:ascii="仿宋" w:hAnsi="仿宋" w:eastAsia="仿宋" w:cs="仿宋"/>
          <w:color w:val="000000"/>
          <w:kern w:val="0"/>
          <w:sz w:val="24"/>
        </w:rPr>
      </w:pPr>
      <w:r>
        <w:rPr>
          <w:rFonts w:hint="eastAsia" w:ascii="仿宋" w:hAnsi="仿宋" w:eastAsia="仿宋" w:cs="仿宋"/>
          <w:spacing w:val="20"/>
          <w:sz w:val="24"/>
        </w:rPr>
        <w:t>六、</w:t>
      </w:r>
      <w:r>
        <w:rPr>
          <w:rFonts w:hint="eastAsia" w:ascii="仿宋" w:hAnsi="仿宋" w:eastAsia="仿宋" w:cs="仿宋"/>
          <w:color w:val="000000"/>
          <w:kern w:val="0"/>
          <w:sz w:val="24"/>
        </w:rPr>
        <w:t>地域债券业绩</w:t>
      </w:r>
    </w:p>
    <w:p>
      <w:pPr>
        <w:spacing w:line="360" w:lineRule="auto"/>
        <w:rPr>
          <w:rFonts w:hint="default" w:ascii="仿宋" w:hAnsi="仿宋" w:eastAsia="仿宋" w:cs="仿宋"/>
          <w:spacing w:val="20"/>
          <w:sz w:val="24"/>
          <w:lang w:val="en-US" w:eastAsia="zh-CN"/>
        </w:rPr>
      </w:pPr>
      <w:r>
        <w:rPr>
          <w:rFonts w:hint="eastAsia" w:ascii="仿宋" w:hAnsi="仿宋" w:eastAsia="仿宋" w:cs="仿宋"/>
          <w:spacing w:val="20"/>
          <w:sz w:val="24"/>
        </w:rPr>
        <w:t>（一）</w:t>
      </w:r>
      <w:r>
        <w:rPr>
          <w:rFonts w:hint="eastAsia" w:ascii="仿宋" w:hAnsi="仿宋" w:eastAsia="仿宋" w:cs="仿宋"/>
          <w:spacing w:val="20"/>
          <w:sz w:val="24"/>
          <w:lang w:val="en-US" w:eastAsia="zh-CN"/>
        </w:rPr>
        <w:t>宿州区域信贷支持情况</w:t>
      </w:r>
    </w:p>
    <w:p>
      <w:pPr>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spacing w:val="20"/>
          <w:sz w:val="24"/>
        </w:rPr>
        <w:t>（二）</w:t>
      </w:r>
      <w:r>
        <w:rPr>
          <w:rFonts w:hint="eastAsia" w:ascii="仿宋" w:hAnsi="仿宋" w:eastAsia="仿宋" w:cs="仿宋"/>
          <w:spacing w:val="20"/>
          <w:sz w:val="24"/>
          <w:lang w:val="en-US" w:eastAsia="zh-CN"/>
        </w:rPr>
        <w:t>萧县地区平台支持情况</w:t>
      </w:r>
    </w:p>
    <w:p>
      <w:pPr>
        <w:spacing w:line="360" w:lineRule="auto"/>
        <w:rPr>
          <w:rFonts w:hint="eastAsia" w:ascii="仿宋" w:hAnsi="仿宋" w:eastAsia="仿宋" w:cs="仿宋"/>
          <w:spacing w:val="20"/>
          <w:sz w:val="24"/>
        </w:rPr>
      </w:pPr>
      <w:r>
        <w:rPr>
          <w:rFonts w:hint="eastAsia" w:ascii="仿宋" w:hAnsi="仿宋" w:eastAsia="仿宋" w:cs="仿宋"/>
          <w:spacing w:val="20"/>
          <w:sz w:val="24"/>
        </w:rPr>
        <w:t>（三）</w:t>
      </w:r>
      <w:r>
        <w:rPr>
          <w:rFonts w:hint="eastAsia" w:ascii="仿宋" w:hAnsi="仿宋" w:eastAsia="仿宋" w:cs="仿宋"/>
          <w:spacing w:val="20"/>
          <w:sz w:val="24"/>
          <w:lang w:val="en-US" w:eastAsia="zh-CN"/>
        </w:rPr>
        <w:t>历年来年对萧县区域发行的债券支持情况</w:t>
      </w:r>
    </w:p>
    <w:p>
      <w:pPr>
        <w:spacing w:line="360" w:lineRule="auto"/>
        <w:rPr>
          <w:rFonts w:hint="eastAsia" w:eastAsia="仿宋"/>
          <w:lang w:eastAsia="zh-CN"/>
        </w:rPr>
      </w:pPr>
      <w:r>
        <w:rPr>
          <w:rFonts w:hint="eastAsia" w:ascii="仿宋" w:hAnsi="仿宋" w:eastAsia="仿宋" w:cs="仿宋"/>
          <w:spacing w:val="20"/>
          <w:sz w:val="24"/>
          <w:lang w:val="en-US" w:eastAsia="zh-CN"/>
        </w:rPr>
        <w:t>七</w:t>
      </w:r>
      <w:r>
        <w:rPr>
          <w:rFonts w:hint="eastAsia" w:ascii="仿宋" w:hAnsi="仿宋" w:eastAsia="仿宋" w:cs="仿宋"/>
          <w:spacing w:val="20"/>
          <w:sz w:val="24"/>
        </w:rPr>
        <w:t>、</w:t>
      </w:r>
      <w:r>
        <w:rPr>
          <w:rFonts w:hint="eastAsia" w:ascii="仿宋" w:hAnsi="仿宋" w:eastAsia="仿宋" w:cs="仿宋"/>
          <w:spacing w:val="20"/>
          <w:sz w:val="24"/>
          <w:lang w:val="en-US" w:eastAsia="zh-CN"/>
        </w:rPr>
        <w:t>风险控制</w:t>
      </w:r>
      <w:r>
        <w:rPr>
          <w:rFonts w:hint="eastAsia" w:ascii="仿宋" w:hAnsi="仿宋" w:eastAsia="仿宋" w:cs="仿宋"/>
          <w:spacing w:val="20"/>
          <w:sz w:val="24"/>
        </w:rPr>
        <w:t>证明</w:t>
      </w:r>
      <w:r>
        <w:rPr>
          <w:rFonts w:hint="eastAsia" w:ascii="仿宋" w:hAnsi="仿宋" w:eastAsia="仿宋" w:cs="仿宋"/>
          <w:spacing w:val="20"/>
          <w:sz w:val="24"/>
          <w:lang w:val="en-US" w:eastAsia="zh-CN"/>
        </w:rPr>
        <w:t>材料</w:t>
      </w:r>
    </w:p>
    <w:p>
      <w:pPr>
        <w:spacing w:line="360" w:lineRule="auto"/>
        <w:rPr>
          <w:rFonts w:hint="default" w:ascii="仿宋" w:hAnsi="仿宋" w:eastAsia="仿宋" w:cs="仿宋"/>
          <w:spacing w:val="20"/>
          <w:sz w:val="24"/>
          <w:lang w:val="en-US"/>
        </w:rPr>
      </w:pPr>
      <w:r>
        <w:rPr>
          <w:rFonts w:hint="eastAsia" w:ascii="仿宋" w:hAnsi="仿宋" w:eastAsia="仿宋" w:cs="仿宋"/>
          <w:spacing w:val="20"/>
          <w:sz w:val="24"/>
          <w:lang w:val="en-US" w:eastAsia="zh-CN"/>
        </w:rPr>
        <w:t>八</w:t>
      </w:r>
      <w:r>
        <w:rPr>
          <w:rFonts w:hint="eastAsia" w:ascii="仿宋" w:hAnsi="仿宋" w:eastAsia="仿宋" w:cs="仿宋"/>
          <w:spacing w:val="20"/>
          <w:sz w:val="24"/>
        </w:rPr>
        <w:t>、</w:t>
      </w:r>
      <w:r>
        <w:rPr>
          <w:rFonts w:hint="eastAsia" w:ascii="仿宋" w:hAnsi="仿宋" w:eastAsia="仿宋" w:cs="仿宋"/>
          <w:spacing w:val="20"/>
          <w:sz w:val="24"/>
          <w:lang w:val="en-US" w:eastAsia="zh-CN"/>
        </w:rPr>
        <w:t>申报及承销方案</w:t>
      </w:r>
    </w:p>
    <w:p>
      <w:pPr>
        <w:spacing w:line="360" w:lineRule="auto"/>
        <w:rPr>
          <w:rFonts w:hint="default" w:ascii="仿宋" w:hAnsi="仿宋" w:eastAsia="仿宋" w:cs="仿宋"/>
          <w:spacing w:val="20"/>
          <w:sz w:val="24"/>
          <w:lang w:val="en-US" w:eastAsia="zh-CN"/>
        </w:rPr>
      </w:pPr>
      <w:r>
        <w:rPr>
          <w:rFonts w:hint="eastAsia" w:ascii="仿宋" w:hAnsi="仿宋" w:eastAsia="仿宋" w:cs="仿宋"/>
          <w:spacing w:val="20"/>
          <w:sz w:val="24"/>
        </w:rPr>
        <w:t>（一）</w:t>
      </w:r>
      <w:r>
        <w:rPr>
          <w:rFonts w:hint="eastAsia" w:ascii="仿宋" w:hAnsi="仿宋" w:eastAsia="仿宋" w:cs="仿宋"/>
          <w:spacing w:val="20"/>
          <w:sz w:val="24"/>
          <w:lang w:val="en-US" w:eastAsia="zh-CN"/>
        </w:rPr>
        <w:t>发行方案设计</w:t>
      </w:r>
    </w:p>
    <w:p>
      <w:pPr>
        <w:spacing w:line="360" w:lineRule="auto"/>
        <w:rPr>
          <w:rFonts w:hint="default" w:ascii="仿宋" w:hAnsi="仿宋" w:eastAsia="仿宋" w:cs="仿宋"/>
          <w:spacing w:val="20"/>
          <w:sz w:val="24"/>
          <w:lang w:val="en-US" w:eastAsia="zh-CN"/>
        </w:rPr>
      </w:pPr>
      <w:r>
        <w:rPr>
          <w:rFonts w:hint="eastAsia" w:ascii="仿宋" w:hAnsi="仿宋" w:eastAsia="仿宋" w:cs="仿宋"/>
          <w:spacing w:val="20"/>
          <w:sz w:val="24"/>
        </w:rPr>
        <w:t>（二）</w:t>
      </w:r>
      <w:r>
        <w:rPr>
          <w:rFonts w:hint="eastAsia" w:ascii="仿宋" w:hAnsi="仿宋" w:eastAsia="仿宋" w:cs="仿宋"/>
          <w:spacing w:val="20"/>
          <w:sz w:val="24"/>
          <w:lang w:val="en-US" w:eastAsia="zh-CN"/>
        </w:rPr>
        <w:t>针对发行人的合理化建议</w:t>
      </w:r>
    </w:p>
    <w:p>
      <w:pPr>
        <w:spacing w:line="360" w:lineRule="auto"/>
        <w:rPr>
          <w:rFonts w:hint="default" w:ascii="仿宋" w:hAnsi="仿宋" w:eastAsia="仿宋" w:cs="仿宋"/>
          <w:spacing w:val="20"/>
          <w:sz w:val="24"/>
          <w:lang w:val="en-US" w:eastAsia="zh-CN"/>
        </w:rPr>
      </w:pPr>
      <w:r>
        <w:rPr>
          <w:rFonts w:hint="eastAsia" w:ascii="仿宋" w:hAnsi="仿宋" w:eastAsia="仿宋" w:cs="仿宋"/>
          <w:spacing w:val="20"/>
          <w:sz w:val="24"/>
        </w:rPr>
        <w:t>（三）</w:t>
      </w:r>
      <w:r>
        <w:rPr>
          <w:rFonts w:hint="eastAsia" w:ascii="仿宋" w:hAnsi="仿宋" w:eastAsia="仿宋" w:cs="仿宋"/>
          <w:spacing w:val="20"/>
          <w:sz w:val="24"/>
          <w:lang w:val="en-US" w:eastAsia="zh-CN"/>
        </w:rPr>
        <w:t>主承销商组织与项目推进能力</w:t>
      </w:r>
    </w:p>
    <w:p>
      <w:pPr>
        <w:spacing w:line="360" w:lineRule="auto"/>
        <w:rPr>
          <w:rFonts w:ascii="仿宋" w:hAnsi="仿宋" w:eastAsia="仿宋" w:cs="仿宋"/>
          <w:spacing w:val="20"/>
          <w:sz w:val="24"/>
        </w:rPr>
      </w:pPr>
      <w:r>
        <w:rPr>
          <w:rFonts w:hint="eastAsia" w:ascii="仿宋" w:hAnsi="仿宋" w:eastAsia="仿宋" w:cs="仿宋"/>
          <w:spacing w:val="20"/>
          <w:sz w:val="24"/>
        </w:rPr>
        <w:t>（四）</w:t>
      </w:r>
      <w:r>
        <w:rPr>
          <w:rFonts w:hint="eastAsia" w:ascii="仿宋" w:hAnsi="仿宋" w:eastAsia="仿宋" w:cs="仿宋"/>
          <w:spacing w:val="20"/>
          <w:sz w:val="24"/>
          <w:lang w:val="en-US" w:eastAsia="zh-CN"/>
        </w:rPr>
        <w:t>本次债务融资工具风险分析及风险管理方案</w:t>
      </w:r>
    </w:p>
    <w:p>
      <w:pPr>
        <w:spacing w:line="360" w:lineRule="auto"/>
        <w:rPr>
          <w:rFonts w:ascii="仿宋" w:hAnsi="仿宋" w:eastAsia="仿宋" w:cs="仿宋"/>
          <w:spacing w:val="20"/>
          <w:sz w:val="24"/>
        </w:rPr>
      </w:pPr>
      <w:r>
        <w:rPr>
          <w:rFonts w:hint="eastAsia" w:ascii="仿宋" w:hAnsi="仿宋" w:eastAsia="仿宋" w:cs="仿宋"/>
          <w:spacing w:val="20"/>
          <w:sz w:val="24"/>
        </w:rPr>
        <w:t>（五）</w:t>
      </w:r>
      <w:r>
        <w:rPr>
          <w:rFonts w:hint="eastAsia" w:ascii="仿宋" w:hAnsi="仿宋" w:eastAsia="仿宋" w:cs="仿宋"/>
          <w:spacing w:val="20"/>
          <w:sz w:val="24"/>
          <w:lang w:val="en-US" w:eastAsia="zh-CN"/>
        </w:rPr>
        <w:t>加快债券发行申请的审批速度及相应资源投入的措施</w:t>
      </w:r>
    </w:p>
    <w:p>
      <w:pPr>
        <w:spacing w:line="360" w:lineRule="auto"/>
        <w:rPr>
          <w:rFonts w:hint="default" w:ascii="仿宋" w:hAnsi="仿宋" w:eastAsia="仿宋" w:cs="仿宋"/>
          <w:spacing w:val="20"/>
          <w:sz w:val="24"/>
          <w:lang w:val="en-US" w:eastAsia="zh-CN"/>
        </w:rPr>
      </w:pPr>
      <w:r>
        <w:rPr>
          <w:rFonts w:hint="eastAsia" w:ascii="仿宋" w:hAnsi="仿宋" w:eastAsia="仿宋" w:cs="仿宋"/>
          <w:spacing w:val="20"/>
          <w:sz w:val="24"/>
          <w:lang w:val="en-US" w:eastAsia="zh-CN"/>
        </w:rPr>
        <w:t>九</w:t>
      </w:r>
      <w:r>
        <w:rPr>
          <w:rFonts w:hint="eastAsia" w:ascii="仿宋" w:hAnsi="仿宋" w:eastAsia="仿宋" w:cs="仿宋"/>
          <w:spacing w:val="20"/>
          <w:sz w:val="24"/>
        </w:rPr>
        <w:t>、</w:t>
      </w:r>
      <w:r>
        <w:rPr>
          <w:rFonts w:hint="eastAsia" w:ascii="仿宋" w:hAnsi="仿宋" w:eastAsia="仿宋" w:cs="仿宋"/>
          <w:color w:val="000000"/>
          <w:kern w:val="0"/>
          <w:sz w:val="24"/>
          <w:lang w:val="en-US" w:eastAsia="zh-CN"/>
        </w:rPr>
        <w:t>履约保证金承诺</w:t>
      </w:r>
    </w:p>
    <w:p>
      <w:pPr>
        <w:spacing w:line="360" w:lineRule="auto"/>
        <w:rPr>
          <w:rFonts w:hint="default" w:ascii="仿宋" w:hAnsi="仿宋" w:eastAsia="仿宋" w:cs="仿宋"/>
          <w:spacing w:val="20"/>
          <w:sz w:val="24"/>
          <w:lang w:val="en-US" w:eastAsia="zh-CN"/>
        </w:rPr>
      </w:pPr>
      <w:r>
        <w:rPr>
          <w:rFonts w:hint="eastAsia" w:ascii="仿宋" w:hAnsi="仿宋" w:eastAsia="仿宋" w:cs="仿宋"/>
          <w:spacing w:val="20"/>
          <w:sz w:val="24"/>
          <w:lang w:val="en-US" w:eastAsia="zh-CN"/>
        </w:rPr>
        <w:t>十、其他材料</w:t>
      </w:r>
    </w:p>
    <w:p>
      <w:pPr>
        <w:pStyle w:val="2"/>
      </w:pPr>
    </w:p>
    <w:p>
      <w:pPr>
        <w:spacing w:line="360" w:lineRule="auto"/>
        <w:rPr>
          <w:rFonts w:hint="eastAsia" w:ascii="仿宋" w:hAnsi="仿宋" w:eastAsia="仿宋" w:cs="仿宋"/>
          <w:spacing w:val="20"/>
          <w:sz w:val="24"/>
        </w:rPr>
      </w:pPr>
      <w:r>
        <w:rPr>
          <w:rFonts w:hint="eastAsia" w:ascii="仿宋" w:hAnsi="仿宋" w:eastAsia="仿宋" w:cs="仿宋"/>
          <w:spacing w:val="20"/>
          <w:sz w:val="24"/>
        </w:rPr>
        <w:t>说明：以上材料，后附格式的以参考格式为准，无附件格式的自拟格式。</w:t>
      </w:r>
      <w:bookmarkEnd w:id="17"/>
    </w:p>
    <w:p>
      <w:pPr>
        <w:spacing w:line="360" w:lineRule="auto"/>
        <w:rPr>
          <w:rFonts w:hint="eastAsia" w:eastAsia="楷体"/>
          <w:spacing w:val="20"/>
          <w:sz w:val="24"/>
        </w:rPr>
      </w:pPr>
    </w:p>
    <w:p>
      <w:pPr>
        <w:spacing w:line="360" w:lineRule="auto"/>
        <w:rPr>
          <w:rFonts w:ascii="Times New Roman" w:hAnsi="Times New Roman" w:eastAsia="仿宋"/>
          <w:b/>
          <w:spacing w:val="20"/>
          <w:sz w:val="24"/>
        </w:rPr>
      </w:pPr>
      <w:r>
        <w:rPr>
          <w:rFonts w:hint="eastAsia" w:eastAsia="楷体"/>
          <w:spacing w:val="20"/>
          <w:sz w:val="24"/>
        </w:rPr>
        <w:br w:type="page"/>
      </w:r>
    </w:p>
    <w:p>
      <w:pPr>
        <w:pStyle w:val="5"/>
        <w:spacing w:line="400" w:lineRule="exact"/>
        <w:jc w:val="both"/>
        <w:rPr>
          <w:rFonts w:ascii="Times New Roman" w:hAnsi="Times New Roman" w:eastAsia="仿宋" w:cs="Times New Roman"/>
          <w:b/>
          <w:bCs w:val="0"/>
          <w:spacing w:val="20"/>
          <w:kern w:val="2"/>
          <w:sz w:val="24"/>
          <w:szCs w:val="24"/>
          <w:lang w:val="en-US" w:eastAsia="zh-CN" w:bidi="ar-SA"/>
        </w:rPr>
      </w:pPr>
      <w:bookmarkStart w:id="18" w:name="_Toc462234316"/>
      <w:bookmarkStart w:id="19" w:name="_Toc19920"/>
      <w:bookmarkStart w:id="20" w:name="_Toc22457"/>
      <w:bookmarkStart w:id="21" w:name="_Toc13726"/>
      <w:bookmarkStart w:id="22" w:name="_Hlk450146465"/>
      <w:bookmarkStart w:id="23" w:name="_Toc11303"/>
      <w:bookmarkStart w:id="24" w:name="_Toc17819"/>
      <w:bookmarkStart w:id="25" w:name="_Toc272141473"/>
      <w:bookmarkStart w:id="26" w:name="_Toc482084478"/>
      <w:bookmarkStart w:id="27" w:name="_Toc293560330"/>
      <w:r>
        <w:rPr>
          <w:rFonts w:hint="eastAsia" w:ascii="Times New Roman" w:hAnsi="Times New Roman" w:eastAsia="仿宋" w:cs="Times New Roman"/>
          <w:b/>
          <w:bCs w:val="0"/>
          <w:spacing w:val="20"/>
          <w:kern w:val="2"/>
          <w:sz w:val="24"/>
          <w:szCs w:val="24"/>
          <w:lang w:val="en-US" w:eastAsia="zh-CN" w:bidi="ar-SA"/>
        </w:rPr>
        <w:t>一、投标函</w:t>
      </w:r>
      <w:bookmarkEnd w:id="18"/>
      <w:bookmarkEnd w:id="19"/>
      <w:bookmarkEnd w:id="20"/>
      <w:bookmarkEnd w:id="21"/>
      <w:bookmarkEnd w:id="22"/>
      <w:bookmarkEnd w:id="23"/>
      <w:bookmarkEnd w:id="24"/>
      <w:bookmarkEnd w:id="25"/>
      <w:bookmarkEnd w:id="26"/>
      <w:bookmarkEnd w:id="27"/>
    </w:p>
    <w:p>
      <w:pPr>
        <w:spacing w:line="400" w:lineRule="exact"/>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（采购人名称）：</w:t>
      </w:r>
    </w:p>
    <w:p>
      <w:pPr>
        <w:spacing w:line="400" w:lineRule="exact"/>
        <w:ind w:firstLine="552" w:firstLineChars="230"/>
        <w:jc w:val="left"/>
        <w:rPr>
          <w:rFonts w:hint="eastAsia" w:ascii="仿宋" w:hAnsi="仿宋" w:eastAsia="仿宋" w:cs="仿宋"/>
          <w:color w:val="auto"/>
          <w:sz w:val="24"/>
          <w:szCs w:val="24"/>
        </w:rPr>
      </w:pPr>
      <w:r>
        <w:rPr>
          <w:rFonts w:hint="eastAsia" w:ascii="仿宋" w:hAnsi="仿宋" w:eastAsia="仿宋" w:cs="仿宋"/>
          <w:color w:val="auto"/>
          <w:sz w:val="24"/>
          <w:szCs w:val="24"/>
        </w:rPr>
        <w:t>1、根据贵方招标公告，我们决定参加贵方组织的</w:t>
      </w:r>
      <w:r>
        <w:rPr>
          <w:rFonts w:hint="eastAsia" w:ascii="仿宋" w:hAnsi="仿宋" w:eastAsia="仿宋" w:cs="仿宋"/>
          <w:color w:val="auto"/>
          <w:sz w:val="24"/>
          <w:szCs w:val="24"/>
          <w:u w:val="single"/>
        </w:rPr>
        <w:t xml:space="preserve"> （项目名称）   </w:t>
      </w:r>
      <w:r>
        <w:rPr>
          <w:rFonts w:hint="eastAsia" w:ascii="仿宋" w:hAnsi="仿宋" w:eastAsia="仿宋" w:cs="仿宋"/>
          <w:color w:val="auto"/>
          <w:sz w:val="24"/>
          <w:szCs w:val="24"/>
        </w:rPr>
        <w:t>的招标采购活动。我方授权</w:t>
      </w:r>
      <w:r>
        <w:rPr>
          <w:rFonts w:hint="eastAsia" w:ascii="仿宋" w:hAnsi="仿宋" w:eastAsia="仿宋" w:cs="仿宋"/>
          <w:color w:val="auto"/>
          <w:sz w:val="24"/>
          <w:szCs w:val="24"/>
          <w:u w:val="single"/>
        </w:rPr>
        <w:t xml:space="preserve">  （姓名和职务）   </w:t>
      </w:r>
      <w:r>
        <w:rPr>
          <w:rFonts w:hint="eastAsia" w:ascii="仿宋" w:hAnsi="仿宋" w:eastAsia="仿宋" w:cs="仿宋"/>
          <w:color w:val="auto"/>
          <w:sz w:val="24"/>
          <w:szCs w:val="24"/>
        </w:rPr>
        <w:t>代表我方</w:t>
      </w:r>
      <w:r>
        <w:rPr>
          <w:rFonts w:hint="eastAsia" w:ascii="仿宋" w:hAnsi="仿宋" w:eastAsia="仿宋" w:cs="仿宋"/>
          <w:color w:val="auto"/>
          <w:sz w:val="24"/>
          <w:szCs w:val="24"/>
          <w:u w:val="single"/>
        </w:rPr>
        <w:t xml:space="preserve">  （投标人全称）   </w:t>
      </w:r>
      <w:r>
        <w:rPr>
          <w:rFonts w:hint="eastAsia" w:ascii="仿宋" w:hAnsi="仿宋" w:eastAsia="仿宋" w:cs="仿宋"/>
          <w:color w:val="auto"/>
          <w:sz w:val="24"/>
          <w:szCs w:val="24"/>
        </w:rPr>
        <w:t>全权处理本项目投标的有关事宜。</w:t>
      </w:r>
    </w:p>
    <w:p>
      <w:pPr>
        <w:spacing w:line="500" w:lineRule="exact"/>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2、我方愿意按照招标文件规定的各项要求，向采购人提供所需的服务，</w:t>
      </w:r>
      <w:r>
        <w:rPr>
          <w:rFonts w:hint="eastAsia" w:ascii="仿宋" w:hAnsi="仿宋" w:eastAsia="仿宋" w:cs="仿宋"/>
          <w:color w:val="auto"/>
          <w:sz w:val="24"/>
          <w:szCs w:val="24"/>
          <w:lang w:val="en-US" w:eastAsia="zh-CN"/>
        </w:rPr>
        <w:t>发行金额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亿元，发行</w:t>
      </w:r>
      <w:r>
        <w:rPr>
          <w:rFonts w:hint="eastAsia" w:ascii="仿宋" w:hAnsi="仿宋" w:eastAsia="仿宋" w:cs="仿宋"/>
          <w:color w:val="auto"/>
          <w:sz w:val="24"/>
          <w:szCs w:val="24"/>
          <w:lang w:val="en-US" w:eastAsia="zh-CN"/>
        </w:rPr>
        <w:t>期限</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年，</w:t>
      </w:r>
      <w:r>
        <w:rPr>
          <w:rFonts w:hint="eastAsia" w:ascii="仿宋" w:hAnsi="仿宋" w:eastAsia="仿宋" w:cs="仿宋"/>
          <w:color w:val="auto"/>
          <w:sz w:val="24"/>
          <w:szCs w:val="24"/>
        </w:rPr>
        <w:t>总投标价为</w:t>
      </w:r>
      <w:r>
        <w:rPr>
          <w:rFonts w:hint="eastAsia" w:ascii="仿宋" w:hAnsi="仿宋" w:eastAsia="仿宋" w:cs="仿宋"/>
          <w:color w:val="auto"/>
          <w:sz w:val="24"/>
          <w:szCs w:val="24"/>
          <w:lang w:val="en-US" w:eastAsia="zh-CN"/>
        </w:rPr>
        <w:t>总</w:t>
      </w:r>
      <w:r>
        <w:rPr>
          <w:rFonts w:hint="eastAsia" w:ascii="仿宋" w:hAnsi="仿宋" w:eastAsia="仿宋" w:cs="仿宋"/>
          <w:color w:val="auto"/>
          <w:sz w:val="24"/>
          <w:szCs w:val="24"/>
        </w:rPr>
        <w:t>承销费率报价：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p>
    <w:p>
      <w:pPr>
        <w:spacing w:line="5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3、一旦我方中标，我方将严格履行合同规定的责任和义务。</w:t>
      </w:r>
    </w:p>
    <w:p>
      <w:pPr>
        <w:spacing w:line="5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4、我方同意按照招标文件的要求，并且承诺在投标有效期内如果我方撤回投标书或中标后拒绝签订合同，我方将接受相应的处罚。</w:t>
      </w:r>
    </w:p>
    <w:p>
      <w:pPr>
        <w:tabs>
          <w:tab w:val="left" w:pos="840"/>
        </w:tabs>
        <w:spacing w:line="50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5、我方愿意提供贵方可能另外要求的、与投标有关的文件资料，并保证我方已提供和将要提供的文件是真实的、准确的。</w:t>
      </w:r>
    </w:p>
    <w:p>
      <w:pPr>
        <w:pStyle w:val="28"/>
        <w:spacing w:line="500" w:lineRule="exact"/>
        <w:ind w:firstLine="3675"/>
        <w:rPr>
          <w:rFonts w:hint="eastAsia" w:ascii="仿宋" w:hAnsi="仿宋" w:eastAsia="仿宋" w:cs="仿宋"/>
          <w:color w:val="auto"/>
          <w:sz w:val="24"/>
          <w:szCs w:val="24"/>
        </w:rPr>
      </w:pPr>
      <w:bookmarkStart w:id="28" w:name="_Hlk450185103"/>
      <w:r>
        <w:rPr>
          <w:rFonts w:hint="eastAsia" w:ascii="仿宋" w:hAnsi="仿宋" w:eastAsia="仿宋" w:cs="仿宋"/>
          <w:color w:val="auto"/>
          <w:sz w:val="24"/>
          <w:szCs w:val="24"/>
        </w:rPr>
        <w:t>投 标 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（签章）</w:t>
      </w:r>
    </w:p>
    <w:p>
      <w:pPr>
        <w:pStyle w:val="28"/>
        <w:spacing w:line="500" w:lineRule="exact"/>
        <w:ind w:left="525" w:firstLine="3600" w:firstLineChars="1500"/>
        <w:rPr>
          <w:rFonts w:hint="eastAsia" w:ascii="仿宋" w:hAnsi="仿宋" w:eastAsia="仿宋" w:cs="仿宋"/>
          <w:color w:val="auto"/>
          <w:sz w:val="24"/>
          <w:szCs w:val="24"/>
        </w:rPr>
      </w:pPr>
      <w:r>
        <w:rPr>
          <w:rFonts w:hint="eastAsia" w:ascii="仿宋" w:hAnsi="仿宋" w:eastAsia="仿宋" w:cs="仿宋"/>
          <w:color w:val="auto"/>
          <w:sz w:val="24"/>
          <w:szCs w:val="24"/>
        </w:rPr>
        <w:t>法定代表人（签章）：</w:t>
      </w:r>
      <w:r>
        <w:rPr>
          <w:rFonts w:hint="eastAsia" w:ascii="仿宋" w:hAnsi="仿宋" w:eastAsia="仿宋" w:cs="仿宋"/>
          <w:color w:val="auto"/>
          <w:sz w:val="24"/>
          <w:szCs w:val="24"/>
          <w:u w:val="single"/>
        </w:rPr>
        <w:t xml:space="preserve">                 </w:t>
      </w:r>
    </w:p>
    <w:p>
      <w:pPr>
        <w:pStyle w:val="28"/>
        <w:spacing w:line="500" w:lineRule="exact"/>
        <w:ind w:firstLine="3675"/>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pPr>
        <w:pStyle w:val="28"/>
        <w:spacing w:line="500" w:lineRule="exact"/>
        <w:ind w:firstLine="3675"/>
        <w:rPr>
          <w:rFonts w:hint="eastAsia" w:ascii="仿宋" w:hAnsi="仿宋" w:eastAsia="仿宋" w:cs="仿宋"/>
          <w:color w:val="auto"/>
          <w:sz w:val="24"/>
          <w:szCs w:val="24"/>
        </w:rPr>
      </w:pPr>
      <w:r>
        <w:rPr>
          <w:rFonts w:hint="eastAsia" w:ascii="仿宋" w:hAnsi="仿宋" w:eastAsia="仿宋" w:cs="仿宋"/>
          <w:color w:val="auto"/>
          <w:sz w:val="24"/>
          <w:szCs w:val="24"/>
        </w:rPr>
        <w:t>电话：</w:t>
      </w:r>
      <w:r>
        <w:rPr>
          <w:rFonts w:hint="eastAsia" w:ascii="仿宋" w:hAnsi="仿宋" w:eastAsia="仿宋" w:cs="仿宋"/>
          <w:color w:val="auto"/>
          <w:sz w:val="24"/>
          <w:szCs w:val="24"/>
          <w:u w:val="single"/>
        </w:rPr>
        <w:t xml:space="preserve">                                     </w:t>
      </w:r>
    </w:p>
    <w:p>
      <w:pPr>
        <w:pStyle w:val="28"/>
        <w:spacing w:line="500" w:lineRule="exact"/>
        <w:ind w:firstLine="3675"/>
        <w:rPr>
          <w:rFonts w:hint="eastAsia" w:ascii="仿宋" w:hAnsi="仿宋" w:eastAsia="仿宋" w:cs="仿宋"/>
          <w:color w:val="auto"/>
          <w:sz w:val="24"/>
          <w:szCs w:val="24"/>
        </w:rPr>
      </w:pPr>
      <w:r>
        <w:rPr>
          <w:rFonts w:hint="eastAsia" w:ascii="仿宋" w:hAnsi="仿宋" w:eastAsia="仿宋" w:cs="仿宋"/>
          <w:color w:val="auto"/>
          <w:sz w:val="24"/>
          <w:szCs w:val="24"/>
        </w:rPr>
        <w:t>邮政编码：</w:t>
      </w:r>
      <w:r>
        <w:rPr>
          <w:rFonts w:hint="eastAsia" w:ascii="仿宋" w:hAnsi="仿宋" w:eastAsia="仿宋" w:cs="仿宋"/>
          <w:color w:val="auto"/>
          <w:sz w:val="24"/>
          <w:szCs w:val="24"/>
          <w:u w:val="single"/>
        </w:rPr>
        <w:t xml:space="preserve">                                 </w:t>
      </w:r>
    </w:p>
    <w:p>
      <w:pPr>
        <w:spacing w:line="500" w:lineRule="exact"/>
        <w:ind w:firstLine="2400" w:firstLineChars="1000"/>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 xml:space="preserve">               日期：</w:t>
      </w:r>
      <w:r>
        <w:rPr>
          <w:rFonts w:hint="eastAsia" w:ascii="仿宋" w:hAnsi="仿宋" w:eastAsia="仿宋" w:cs="仿宋"/>
          <w:color w:val="auto"/>
          <w:sz w:val="24"/>
          <w:szCs w:val="24"/>
          <w:u w:val="single"/>
        </w:rPr>
        <w:t xml:space="preserve">                                     </w:t>
      </w:r>
    </w:p>
    <w:bookmarkEnd w:id="28"/>
    <w:p>
      <w:pPr>
        <w:spacing w:line="360" w:lineRule="auto"/>
        <w:rPr>
          <w:rFonts w:hint="eastAsia" w:ascii="仿宋" w:hAnsi="仿宋" w:eastAsia="仿宋" w:cs="仿宋"/>
          <w:spacing w:val="20"/>
          <w:sz w:val="24"/>
          <w:szCs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r>
        <w:rPr>
          <w:rFonts w:ascii="Times New Roman" w:hAnsi="Times New Roman" w:eastAsia="仿宋"/>
          <w:b/>
          <w:spacing w:val="20"/>
          <w:sz w:val="24"/>
        </w:rPr>
        <w:t>二、法人代表身份证明</w:t>
      </w:r>
      <w:r>
        <w:rPr>
          <w:rFonts w:hint="eastAsia" w:ascii="Times New Roman" w:hAnsi="Times New Roman" w:eastAsia="仿宋"/>
          <w:b/>
          <w:spacing w:val="20"/>
          <w:sz w:val="24"/>
        </w:rPr>
        <w:t>及</w:t>
      </w:r>
      <w:r>
        <w:rPr>
          <w:rFonts w:ascii="Times New Roman" w:hAnsi="Times New Roman" w:eastAsia="仿宋"/>
          <w:b/>
          <w:spacing w:val="20"/>
          <w:sz w:val="24"/>
        </w:rPr>
        <w:t>授权委托书</w:t>
      </w:r>
    </w:p>
    <w:p>
      <w:pPr>
        <w:spacing w:line="360" w:lineRule="auto"/>
        <w:jc w:val="center"/>
        <w:rPr>
          <w:rFonts w:ascii="Times New Roman" w:hAnsi="Times New Roman" w:eastAsia="仿宋"/>
          <w:b/>
          <w:sz w:val="24"/>
        </w:rPr>
      </w:pPr>
      <w:r>
        <w:rPr>
          <w:rFonts w:ascii="Times New Roman" w:hAnsi="Times New Roman" w:eastAsia="仿宋"/>
          <w:b/>
          <w:sz w:val="24"/>
        </w:rPr>
        <w:t>法定代表人身份证明</w:t>
      </w: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r>
        <w:rPr>
          <w:rFonts w:ascii="Times New Roman" w:hAnsi="Times New Roman" w:eastAsia="仿宋"/>
          <w:spacing w:val="20"/>
          <w:sz w:val="24"/>
        </w:rPr>
        <w:t xml:space="preserve">投标人名称：                             </w:t>
      </w:r>
    </w:p>
    <w:p>
      <w:pPr>
        <w:spacing w:line="360" w:lineRule="auto"/>
        <w:rPr>
          <w:rFonts w:ascii="Times New Roman" w:hAnsi="Times New Roman" w:eastAsia="仿宋"/>
          <w:spacing w:val="20"/>
          <w:sz w:val="24"/>
        </w:rPr>
      </w:pPr>
      <w:r>
        <w:rPr>
          <w:rFonts w:ascii="Times New Roman" w:hAnsi="Times New Roman" w:eastAsia="仿宋"/>
          <w:spacing w:val="20"/>
          <w:sz w:val="24"/>
        </w:rPr>
        <w:t xml:space="preserve">姓名：                </w:t>
      </w:r>
    </w:p>
    <w:p>
      <w:pPr>
        <w:spacing w:line="360" w:lineRule="auto"/>
        <w:rPr>
          <w:rFonts w:ascii="Times New Roman" w:hAnsi="Times New Roman" w:eastAsia="仿宋"/>
          <w:spacing w:val="20"/>
          <w:sz w:val="24"/>
        </w:rPr>
      </w:pPr>
      <w:r>
        <w:rPr>
          <w:rFonts w:ascii="Times New Roman" w:hAnsi="Times New Roman" w:eastAsia="仿宋"/>
          <w:spacing w:val="20"/>
          <w:sz w:val="24"/>
        </w:rPr>
        <w:t xml:space="preserve">性别：                </w:t>
      </w:r>
    </w:p>
    <w:p>
      <w:pPr>
        <w:spacing w:line="360" w:lineRule="auto"/>
        <w:rPr>
          <w:rFonts w:ascii="Times New Roman" w:hAnsi="Times New Roman" w:eastAsia="仿宋"/>
          <w:spacing w:val="20"/>
          <w:sz w:val="24"/>
        </w:rPr>
      </w:pPr>
      <w:r>
        <w:rPr>
          <w:rFonts w:hint="eastAsia" w:ascii="Times New Roman" w:hAnsi="Times New Roman" w:eastAsia="仿宋"/>
          <w:spacing w:val="20"/>
          <w:sz w:val="24"/>
        </w:rPr>
        <w:t>出生年月</w:t>
      </w:r>
      <w:r>
        <w:rPr>
          <w:rFonts w:ascii="Times New Roman" w:hAnsi="Times New Roman" w:eastAsia="仿宋"/>
          <w:spacing w:val="20"/>
          <w:sz w:val="24"/>
        </w:rPr>
        <w:t xml:space="preserve">：                </w:t>
      </w:r>
    </w:p>
    <w:p>
      <w:pPr>
        <w:spacing w:line="360" w:lineRule="auto"/>
        <w:rPr>
          <w:rFonts w:ascii="Times New Roman" w:hAnsi="Times New Roman" w:eastAsia="仿宋"/>
          <w:spacing w:val="20"/>
          <w:sz w:val="24"/>
        </w:rPr>
      </w:pPr>
      <w:r>
        <w:rPr>
          <w:rFonts w:ascii="Times New Roman" w:hAnsi="Times New Roman" w:eastAsia="仿宋"/>
          <w:spacing w:val="20"/>
          <w:sz w:val="24"/>
        </w:rPr>
        <w:t xml:space="preserve">职务：                </w:t>
      </w:r>
    </w:p>
    <w:p>
      <w:pPr>
        <w:spacing w:line="360" w:lineRule="auto"/>
        <w:rPr>
          <w:rFonts w:ascii="Times New Roman" w:hAnsi="Times New Roman" w:eastAsia="仿宋"/>
          <w:spacing w:val="20"/>
          <w:sz w:val="24"/>
        </w:rPr>
      </w:pPr>
      <w:r>
        <w:rPr>
          <w:rFonts w:ascii="Times New Roman" w:hAnsi="Times New Roman" w:eastAsia="仿宋"/>
          <w:spacing w:val="20"/>
          <w:sz w:val="24"/>
        </w:rPr>
        <w:t>系                            （投标人名称）的法定代表人。</w:t>
      </w:r>
    </w:p>
    <w:p>
      <w:pPr>
        <w:spacing w:line="360" w:lineRule="auto"/>
        <w:rPr>
          <w:rFonts w:ascii="Times New Roman" w:hAnsi="Times New Roman" w:eastAsia="仿宋"/>
          <w:spacing w:val="20"/>
          <w:sz w:val="24"/>
        </w:rPr>
      </w:pPr>
      <w:r>
        <w:rPr>
          <w:rFonts w:ascii="Times New Roman" w:hAnsi="Times New Roman" w:eastAsia="仿宋"/>
          <w:spacing w:val="20"/>
          <w:sz w:val="24"/>
        </w:rPr>
        <w:t>特此证明。</w:t>
      </w: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r>
        <w:rPr>
          <w:rFonts w:ascii="Times New Roman" w:hAnsi="Times New Roman" w:eastAsia="仿宋"/>
          <w:spacing w:val="20"/>
          <w:sz w:val="24"/>
        </w:rPr>
        <w:t>附：法定代表人身份证复印件。</w:t>
      </w: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r>
        <w:rPr>
          <w:rFonts w:ascii="Times New Roman" w:hAnsi="Times New Roman" w:eastAsia="仿宋"/>
          <w:spacing w:val="20"/>
          <w:sz w:val="24"/>
        </w:rPr>
        <w:t>注：本身份证明需由投标人加盖单位公章。</w:t>
      </w: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r>
        <w:rPr>
          <w:rFonts w:ascii="Times New Roman" w:hAnsi="Times New Roman" w:eastAsia="仿宋"/>
          <w:spacing w:val="20"/>
          <w:sz w:val="24"/>
        </w:rPr>
        <w:t>投 标 人：</w:t>
      </w:r>
      <w:r>
        <w:rPr>
          <w:rFonts w:ascii="Times New Roman" w:hAnsi="Times New Roman" w:eastAsia="仿宋"/>
          <w:spacing w:val="20"/>
          <w:sz w:val="24"/>
          <w:u w:val="single"/>
        </w:rPr>
        <w:t xml:space="preserve">                          </w:t>
      </w:r>
      <w:r>
        <w:rPr>
          <w:rFonts w:ascii="Times New Roman" w:hAnsi="Times New Roman" w:eastAsia="仿宋"/>
          <w:spacing w:val="20"/>
          <w:sz w:val="24"/>
        </w:rPr>
        <w:t>（盖单位章）</w:t>
      </w:r>
    </w:p>
    <w:p>
      <w:pPr>
        <w:spacing w:line="360" w:lineRule="auto"/>
        <w:rPr>
          <w:rFonts w:ascii="Times New Roman" w:hAnsi="Times New Roman" w:eastAsia="仿宋"/>
          <w:spacing w:val="20"/>
          <w:sz w:val="24"/>
        </w:rPr>
      </w:pPr>
    </w:p>
    <w:p>
      <w:pPr>
        <w:spacing w:line="360" w:lineRule="auto"/>
        <w:jc w:val="right"/>
        <w:rPr>
          <w:rFonts w:ascii="Times New Roman" w:hAnsi="Times New Roman" w:eastAsia="仿宋"/>
          <w:spacing w:val="20"/>
          <w:sz w:val="24"/>
        </w:rPr>
      </w:pPr>
      <w:r>
        <w:rPr>
          <w:rFonts w:ascii="Times New Roman" w:hAnsi="Times New Roman" w:eastAsia="仿宋"/>
          <w:spacing w:val="20"/>
          <w:sz w:val="24"/>
        </w:rPr>
        <w:t>2024年    月    日</w:t>
      </w: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p>
    <w:p>
      <w:pPr>
        <w:spacing w:line="360" w:lineRule="auto"/>
        <w:rPr>
          <w:rFonts w:ascii="Times New Roman" w:hAnsi="Times New Roman" w:eastAsia="仿宋"/>
          <w:spacing w:val="20"/>
          <w:sz w:val="24"/>
        </w:rPr>
      </w:pPr>
      <w:r>
        <w:rPr>
          <w:rFonts w:ascii="Times New Roman" w:hAnsi="Times New Roman" w:eastAsia="仿宋"/>
          <w:spacing w:val="20"/>
          <w:sz w:val="24"/>
        </w:rPr>
        <w:br w:type="page"/>
      </w:r>
      <w:r>
        <w:rPr>
          <w:rFonts w:ascii="Times New Roman" w:hAnsi="Times New Roman" w:eastAsia="仿宋"/>
          <w:b/>
          <w:spacing w:val="20"/>
          <w:sz w:val="24"/>
        </w:rPr>
        <w:t>二、法人代表身份证明</w:t>
      </w:r>
      <w:r>
        <w:rPr>
          <w:rFonts w:hint="eastAsia" w:ascii="Times New Roman" w:hAnsi="Times New Roman" w:eastAsia="仿宋"/>
          <w:b/>
          <w:spacing w:val="20"/>
          <w:sz w:val="24"/>
        </w:rPr>
        <w:t>及</w:t>
      </w:r>
      <w:r>
        <w:rPr>
          <w:rFonts w:ascii="Times New Roman" w:hAnsi="Times New Roman" w:eastAsia="仿宋"/>
          <w:b/>
          <w:spacing w:val="20"/>
          <w:sz w:val="24"/>
        </w:rPr>
        <w:t>授权委托书</w:t>
      </w:r>
    </w:p>
    <w:p>
      <w:pPr>
        <w:spacing w:line="360" w:lineRule="auto"/>
        <w:rPr>
          <w:rFonts w:ascii="Times New Roman" w:hAnsi="Times New Roman" w:eastAsia="仿宋"/>
          <w:spacing w:val="20"/>
          <w:sz w:val="24"/>
        </w:rPr>
      </w:pPr>
    </w:p>
    <w:p>
      <w:pPr>
        <w:spacing w:line="360" w:lineRule="auto"/>
        <w:jc w:val="center"/>
        <w:rPr>
          <w:rFonts w:ascii="Times New Roman" w:hAnsi="Times New Roman" w:eastAsia="仿宋"/>
          <w:b/>
          <w:bCs/>
          <w:spacing w:val="20"/>
          <w:sz w:val="24"/>
        </w:rPr>
      </w:pPr>
      <w:r>
        <w:rPr>
          <w:rFonts w:ascii="Times New Roman" w:hAnsi="Times New Roman" w:eastAsia="仿宋"/>
          <w:b/>
          <w:bCs/>
          <w:spacing w:val="20"/>
          <w:sz w:val="24"/>
        </w:rPr>
        <w:t>授权委托书</w:t>
      </w:r>
    </w:p>
    <w:p>
      <w:pPr>
        <w:spacing w:line="360" w:lineRule="auto"/>
        <w:rPr>
          <w:rFonts w:ascii="Times New Roman" w:hAnsi="Times New Roman" w:eastAsia="仿宋"/>
          <w:spacing w:val="20"/>
          <w:sz w:val="24"/>
        </w:rPr>
      </w:pPr>
    </w:p>
    <w:p>
      <w:pPr>
        <w:spacing w:line="360" w:lineRule="auto"/>
        <w:ind w:firstLine="560" w:firstLineChars="200"/>
        <w:rPr>
          <w:rFonts w:ascii="Times New Roman" w:hAnsi="Times New Roman" w:eastAsia="仿宋"/>
          <w:spacing w:val="20"/>
          <w:sz w:val="24"/>
        </w:rPr>
      </w:pPr>
      <w:r>
        <w:rPr>
          <w:rFonts w:ascii="Times New Roman" w:hAnsi="Times New Roman" w:eastAsia="仿宋"/>
          <w:spacing w:val="20"/>
          <w:sz w:val="24"/>
        </w:rPr>
        <w:t>本授权书申明：XX公司法定代表人XX经合法授权，特代表本单位授权XX为本公司正式的合法代理人，并授权该代理人在萧县交通投资有限责任公司2024年</w:t>
      </w:r>
      <w:r>
        <w:rPr>
          <w:rFonts w:hint="eastAsia" w:ascii="Times New Roman" w:hAnsi="Times New Roman" w:eastAsia="仿宋"/>
          <w:spacing w:val="20"/>
          <w:sz w:val="24"/>
          <w:lang w:eastAsia="zh-CN"/>
        </w:rPr>
        <w:t>非公开定向债务融资工具（PPN）</w:t>
      </w:r>
      <w:r>
        <w:rPr>
          <w:rFonts w:ascii="Times New Roman" w:hAnsi="Times New Roman" w:eastAsia="仿宋"/>
          <w:spacing w:val="20"/>
          <w:sz w:val="24"/>
        </w:rPr>
        <w:t>主承销商评选过程中，以我单位名义签署各项文件及处理有关事宜，本公司均予以认可并对此承担完全法律责任。</w:t>
      </w:r>
    </w:p>
    <w:p>
      <w:pPr>
        <w:spacing w:line="360" w:lineRule="auto"/>
        <w:ind w:firstLine="280" w:firstLineChars="100"/>
        <w:rPr>
          <w:rFonts w:ascii="Times New Roman" w:hAnsi="Times New Roman" w:eastAsia="仿宋"/>
          <w:spacing w:val="20"/>
          <w:sz w:val="24"/>
        </w:rPr>
      </w:pPr>
    </w:p>
    <w:p>
      <w:pPr>
        <w:spacing w:line="360" w:lineRule="auto"/>
        <w:ind w:firstLine="280" w:firstLineChars="100"/>
        <w:rPr>
          <w:rFonts w:ascii="Times New Roman" w:hAnsi="Times New Roman" w:eastAsia="仿宋"/>
          <w:spacing w:val="20"/>
          <w:sz w:val="24"/>
        </w:rPr>
      </w:pPr>
      <w:r>
        <w:rPr>
          <w:rFonts w:ascii="Times New Roman" w:hAnsi="Times New Roman" w:eastAsia="仿宋"/>
          <w:spacing w:val="20"/>
          <w:sz w:val="24"/>
        </w:rPr>
        <w:t>被委托授权人身份证号：</w:t>
      </w:r>
    </w:p>
    <w:p>
      <w:pPr>
        <w:spacing w:line="360" w:lineRule="auto"/>
        <w:ind w:firstLine="280" w:firstLineChars="100"/>
        <w:rPr>
          <w:rFonts w:ascii="Times New Roman" w:hAnsi="Times New Roman" w:eastAsia="仿宋"/>
          <w:spacing w:val="20"/>
          <w:sz w:val="24"/>
        </w:rPr>
      </w:pPr>
    </w:p>
    <w:p>
      <w:pPr>
        <w:spacing w:line="360" w:lineRule="auto"/>
        <w:ind w:firstLine="280" w:firstLineChars="100"/>
        <w:rPr>
          <w:rFonts w:ascii="Times New Roman" w:hAnsi="Times New Roman" w:eastAsia="仿宋"/>
          <w:spacing w:val="20"/>
          <w:sz w:val="24"/>
        </w:rPr>
      </w:pPr>
      <w:r>
        <w:rPr>
          <w:rFonts w:ascii="Times New Roman" w:hAnsi="Times New Roman" w:eastAsia="仿宋"/>
          <w:spacing w:val="20"/>
          <w:sz w:val="24"/>
        </w:rPr>
        <w:t>法定代表人（签字或盖章）：</w:t>
      </w:r>
    </w:p>
    <w:p>
      <w:pPr>
        <w:spacing w:line="360" w:lineRule="auto"/>
        <w:ind w:firstLine="280" w:firstLineChars="100"/>
        <w:rPr>
          <w:rFonts w:ascii="Times New Roman" w:hAnsi="Times New Roman" w:eastAsia="仿宋"/>
          <w:spacing w:val="20"/>
          <w:sz w:val="24"/>
        </w:rPr>
      </w:pPr>
      <w:r>
        <w:rPr>
          <w:rFonts w:ascii="Times New Roman" w:hAnsi="Times New Roman" w:eastAsia="仿宋"/>
          <w:spacing w:val="20"/>
          <w:sz w:val="24"/>
        </w:rPr>
        <w:t xml:space="preserve"> </w:t>
      </w:r>
    </w:p>
    <w:p>
      <w:pPr>
        <w:spacing w:line="360" w:lineRule="auto"/>
        <w:ind w:firstLine="280" w:firstLineChars="100"/>
        <w:rPr>
          <w:rFonts w:ascii="Times New Roman" w:hAnsi="Times New Roman" w:eastAsia="仿宋"/>
          <w:spacing w:val="20"/>
          <w:sz w:val="24"/>
        </w:rPr>
      </w:pPr>
      <w:r>
        <w:rPr>
          <w:rFonts w:ascii="Times New Roman" w:hAnsi="Times New Roman" w:eastAsia="仿宋"/>
          <w:spacing w:val="20"/>
          <w:sz w:val="24"/>
        </w:rPr>
        <w:t>委托代理人（签字）：</w:t>
      </w:r>
    </w:p>
    <w:p>
      <w:pPr>
        <w:spacing w:line="360" w:lineRule="auto"/>
        <w:rPr>
          <w:rFonts w:ascii="Times New Roman" w:hAnsi="Times New Roman" w:eastAsia="仿宋"/>
          <w:spacing w:val="20"/>
          <w:sz w:val="24"/>
        </w:rPr>
      </w:pPr>
      <w:r>
        <w:rPr>
          <w:rFonts w:ascii="Times New Roman" w:hAnsi="Times New Roman" w:eastAsia="仿宋"/>
          <w:spacing w:val="20"/>
          <w:sz w:val="24"/>
        </w:rPr>
        <w:t xml:space="preserve">                   </w:t>
      </w:r>
    </w:p>
    <w:p>
      <w:pPr>
        <w:spacing w:line="360" w:lineRule="auto"/>
        <w:jc w:val="right"/>
        <w:rPr>
          <w:rFonts w:ascii="Times New Roman" w:hAnsi="Times New Roman" w:eastAsia="仿宋"/>
          <w:spacing w:val="20"/>
          <w:sz w:val="24"/>
        </w:rPr>
      </w:pPr>
      <w:r>
        <w:rPr>
          <w:rFonts w:ascii="Times New Roman" w:hAnsi="Times New Roman" w:eastAsia="仿宋"/>
          <w:spacing w:val="20"/>
          <w:sz w:val="24"/>
        </w:rPr>
        <w:t>投标人：</w:t>
      </w:r>
      <w:r>
        <w:rPr>
          <w:rFonts w:ascii="Times New Roman" w:hAnsi="Times New Roman" w:eastAsia="仿宋"/>
          <w:spacing w:val="20"/>
          <w:sz w:val="24"/>
          <w:u w:val="single"/>
        </w:rPr>
        <w:t xml:space="preserve">          （盖单位章）</w:t>
      </w:r>
    </w:p>
    <w:p>
      <w:pPr>
        <w:spacing w:line="360" w:lineRule="auto"/>
        <w:jc w:val="right"/>
        <w:rPr>
          <w:rFonts w:ascii="Times New Roman" w:hAnsi="Times New Roman" w:eastAsia="仿宋"/>
          <w:spacing w:val="20"/>
          <w:sz w:val="24"/>
        </w:rPr>
      </w:pPr>
      <w:r>
        <w:rPr>
          <w:rFonts w:ascii="Times New Roman" w:hAnsi="Times New Roman" w:eastAsia="仿宋"/>
          <w:spacing w:val="20"/>
          <w:sz w:val="24"/>
        </w:rPr>
        <w:t>2024年 月  日</w:t>
      </w:r>
    </w:p>
    <w:p>
      <w:pPr>
        <w:spacing w:line="360" w:lineRule="auto"/>
        <w:rPr>
          <w:rFonts w:ascii="Times New Roman" w:hAnsi="Times New Roman" w:eastAsia="仿宋"/>
          <w:spacing w:val="20"/>
          <w:sz w:val="24"/>
        </w:rPr>
      </w:pPr>
    </w:p>
    <w:p>
      <w:pPr>
        <w:spacing w:line="360" w:lineRule="auto"/>
        <w:rPr>
          <w:rFonts w:ascii="Times New Roman" w:hAnsi="Times New Roman" w:eastAsia="仿宋"/>
          <w:b/>
          <w:bCs/>
          <w:spacing w:val="20"/>
          <w:sz w:val="24"/>
        </w:rPr>
      </w:pPr>
      <w:r>
        <w:rPr>
          <w:rFonts w:ascii="Times New Roman" w:hAnsi="Times New Roman" w:eastAsia="仿宋"/>
          <w:spacing w:val="20"/>
          <w:sz w:val="24"/>
        </w:rPr>
        <w:br w:type="page"/>
      </w:r>
      <w:r>
        <w:rPr>
          <w:rFonts w:ascii="Times New Roman" w:hAnsi="Times New Roman" w:eastAsia="仿宋"/>
          <w:b/>
          <w:bCs/>
          <w:spacing w:val="20"/>
          <w:sz w:val="24"/>
        </w:rPr>
        <w:t>三、《营业执照》复印件</w:t>
      </w:r>
    </w:p>
    <w:p>
      <w:pPr>
        <w:spacing w:line="360" w:lineRule="auto"/>
        <w:rPr>
          <w:rFonts w:ascii="Times New Roman" w:hAnsi="Times New Roman" w:eastAsia="仿宋"/>
          <w:spacing w:val="20"/>
          <w:sz w:val="24"/>
        </w:rPr>
      </w:pPr>
    </w:p>
    <w:p>
      <w:pPr>
        <w:spacing w:line="360" w:lineRule="auto"/>
        <w:rPr>
          <w:rFonts w:hint="eastAsia" w:ascii="Times New Roman" w:hAnsi="Times New Roman" w:eastAsia="仿宋"/>
          <w:spacing w:val="20"/>
          <w:sz w:val="24"/>
          <w:lang w:eastAsia="zh-CN"/>
        </w:rPr>
      </w:pPr>
      <w:r>
        <w:rPr>
          <w:rFonts w:ascii="Times New Roman" w:hAnsi="Times New Roman" w:eastAsia="仿宋"/>
          <w:spacing w:val="20"/>
          <w:sz w:val="24"/>
        </w:rPr>
        <w:br w:type="page"/>
      </w:r>
      <w:r>
        <w:rPr>
          <w:rFonts w:ascii="Times New Roman" w:hAnsi="Times New Roman" w:eastAsia="仿宋"/>
          <w:b/>
          <w:bCs/>
          <w:spacing w:val="20"/>
          <w:sz w:val="24"/>
        </w:rPr>
        <w:t>四、</w:t>
      </w:r>
      <w:r>
        <w:rPr>
          <w:rFonts w:hint="eastAsia" w:ascii="Times New Roman" w:hAnsi="Times New Roman" w:eastAsia="仿宋"/>
          <w:b/>
          <w:bCs/>
          <w:spacing w:val="20"/>
          <w:sz w:val="24"/>
          <w:lang w:val="en-US" w:eastAsia="zh-CN"/>
        </w:rPr>
        <w:t>2023年安徽区域内承销债务融资工具业务金额情况</w:t>
      </w:r>
    </w:p>
    <w:p>
      <w:pPr>
        <w:spacing w:line="360" w:lineRule="auto"/>
        <w:rPr>
          <w:rFonts w:hint="eastAsia" w:ascii="Times New Roman" w:hAnsi="Times New Roman" w:eastAsia="仿宋"/>
          <w:b/>
          <w:bCs/>
          <w:spacing w:val="20"/>
          <w:sz w:val="24"/>
          <w:lang w:val="en-US" w:eastAsia="zh-CN"/>
        </w:rPr>
      </w:pPr>
      <w:r>
        <w:rPr>
          <w:rFonts w:hint="eastAsia" w:ascii="Times New Roman" w:hAnsi="Times New Roman" w:eastAsia="仿宋"/>
          <w:spacing w:val="20"/>
          <w:sz w:val="24"/>
          <w:lang w:eastAsia="zh-CN"/>
        </w:rPr>
        <w:t>（</w:t>
      </w:r>
      <w:r>
        <w:rPr>
          <w:rFonts w:hint="eastAsia" w:ascii="仿宋" w:hAnsi="仿宋" w:eastAsia="仿宋" w:cs="仿宋"/>
          <w:b/>
          <w:bCs/>
          <w:color w:val="auto"/>
          <w:sz w:val="21"/>
          <w:szCs w:val="21"/>
          <w:highlight w:val="none"/>
          <w:lang w:val="en-US" w:eastAsia="zh-CN"/>
        </w:rPr>
        <w:t>Wind数据统计途径：一级市场-承销统计-债券承销分地域排名，标注时间段（2023-01-01至2023-12-31），债券类型勾选NAFMII，选择合并母子公司，选择安徽区域，提取数据。提供Wind截图。)</w:t>
      </w:r>
      <w:r>
        <w:rPr>
          <w:rFonts w:ascii="Times New Roman" w:hAnsi="Times New Roman" w:eastAsia="仿宋"/>
          <w:spacing w:val="20"/>
          <w:sz w:val="24"/>
        </w:rPr>
        <w:br w:type="page"/>
      </w:r>
      <w:r>
        <w:rPr>
          <w:rFonts w:hint="eastAsia" w:ascii="Times New Roman" w:hAnsi="Times New Roman" w:eastAsia="仿宋"/>
          <w:b/>
          <w:bCs/>
          <w:spacing w:val="20"/>
          <w:sz w:val="24"/>
          <w:lang w:val="en-US" w:eastAsia="zh-CN"/>
        </w:rPr>
        <w:t>五、2023年安徽区域内承销债务融资工具业务只数情况</w:t>
      </w:r>
    </w:p>
    <w:p>
      <w:pPr>
        <w:spacing w:line="360" w:lineRule="auto"/>
        <w:rPr>
          <w:rFonts w:hint="default" w:ascii="Times New Roman" w:hAnsi="Times New Roman" w:eastAsia="仿宋"/>
          <w:b/>
          <w:bCs/>
          <w:spacing w:val="20"/>
          <w:sz w:val="24"/>
          <w:lang w:val="en-US" w:eastAsia="zh-CN"/>
        </w:rPr>
      </w:pPr>
      <w:r>
        <w:rPr>
          <w:rFonts w:hint="eastAsia" w:ascii="仿宋" w:hAnsi="仿宋" w:eastAsia="仿宋" w:cs="仿宋"/>
          <w:b/>
          <w:bCs/>
          <w:color w:val="auto"/>
          <w:sz w:val="21"/>
          <w:szCs w:val="21"/>
          <w:highlight w:val="none"/>
          <w:lang w:val="en-US" w:eastAsia="zh-CN"/>
        </w:rPr>
        <w:t>(Wind数据统计途径：一级市场-承销统计-债券承销分地域排名，标注时间段（2023-01-01至2023-12-31），债券类型勾选NAFMII，选择合并母子公司，选择安徽区域，提取数据。提供Wind截图。)</w:t>
      </w:r>
    </w:p>
    <w:p>
      <w:pPr>
        <w:spacing w:line="360" w:lineRule="auto"/>
        <w:rPr>
          <w:rFonts w:ascii="Times New Roman" w:hAnsi="Times New Roman" w:eastAsia="仿宋"/>
          <w:b/>
          <w:bCs/>
          <w:spacing w:val="20"/>
          <w:sz w:val="24"/>
        </w:rPr>
      </w:pPr>
    </w:p>
    <w:p>
      <w:pPr>
        <w:spacing w:line="360" w:lineRule="auto"/>
        <w:rPr>
          <w:rFonts w:ascii="Times New Roman" w:hAnsi="Times New Roman" w:eastAsia="仿宋"/>
          <w:b/>
          <w:bCs/>
          <w:spacing w:val="20"/>
          <w:sz w:val="24"/>
        </w:rPr>
      </w:pPr>
    </w:p>
    <w:p>
      <w:pPr>
        <w:spacing w:line="360" w:lineRule="auto"/>
        <w:rPr>
          <w:rFonts w:ascii="Times New Roman" w:hAnsi="Times New Roman" w:eastAsia="仿宋"/>
          <w:b/>
          <w:bCs/>
          <w:spacing w:val="20"/>
          <w:sz w:val="24"/>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六、地域债券业绩</w:t>
      </w: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（一）宿州区域信贷支持情况</w:t>
      </w: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（二）萧县地区平台支持情况</w:t>
      </w:r>
    </w:p>
    <w:p>
      <w:pPr>
        <w:spacing w:line="360" w:lineRule="auto"/>
        <w:rPr>
          <w:rFonts w:hint="eastAsia"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（三）历年来年对萧县区域发行的债券支持情况</w:t>
      </w:r>
    </w:p>
    <w:p>
      <w:pPr>
        <w:pStyle w:val="2"/>
        <w:widowControl w:val="0"/>
        <w:numPr>
          <w:ilvl w:val="0"/>
          <w:numId w:val="0"/>
        </w:numPr>
        <w:spacing w:after="120"/>
        <w:jc w:val="both"/>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spacing w:line="360" w:lineRule="auto"/>
        <w:rPr>
          <w:rFonts w:hint="eastAsia"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七、风险控制证明材料</w:t>
      </w: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lang w:val="en-US" w:eastAsia="zh-CN"/>
        </w:rPr>
      </w:pP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八、申报及承销方案</w:t>
      </w: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rPr>
        <w:t>（一）</w:t>
      </w:r>
      <w:r>
        <w:rPr>
          <w:rFonts w:hint="eastAsia" w:ascii="Times New Roman" w:hAnsi="Times New Roman" w:eastAsia="仿宋" w:cs="Times New Roman"/>
          <w:b/>
          <w:bCs/>
          <w:spacing w:val="20"/>
          <w:sz w:val="24"/>
          <w:lang w:val="en-US" w:eastAsia="zh-CN"/>
        </w:rPr>
        <w:t>发行方案设计</w:t>
      </w: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rPr>
        <w:t>（二）</w:t>
      </w:r>
      <w:r>
        <w:rPr>
          <w:rFonts w:hint="eastAsia" w:ascii="Times New Roman" w:hAnsi="Times New Roman" w:eastAsia="仿宋" w:cs="Times New Roman"/>
          <w:b/>
          <w:bCs/>
          <w:spacing w:val="20"/>
          <w:sz w:val="24"/>
          <w:lang w:val="en-US" w:eastAsia="zh-CN"/>
        </w:rPr>
        <w:t>针对发行人的合理化建议</w:t>
      </w: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rPr>
        <w:t>（三）</w:t>
      </w:r>
      <w:r>
        <w:rPr>
          <w:rFonts w:hint="eastAsia" w:ascii="Times New Roman" w:hAnsi="Times New Roman" w:eastAsia="仿宋" w:cs="Times New Roman"/>
          <w:b/>
          <w:bCs/>
          <w:spacing w:val="20"/>
          <w:sz w:val="24"/>
          <w:lang w:val="en-US" w:eastAsia="zh-CN"/>
        </w:rPr>
        <w:t>主承销商组织与项目推进能力</w:t>
      </w:r>
    </w:p>
    <w:p>
      <w:pPr>
        <w:spacing w:line="360" w:lineRule="auto"/>
        <w:rPr>
          <w:rFonts w:ascii="Times New Roman" w:hAnsi="Times New Roman" w:eastAsia="仿宋" w:cs="Times New Roman"/>
          <w:b/>
          <w:bCs/>
          <w:spacing w:val="20"/>
          <w:sz w:val="24"/>
        </w:rPr>
      </w:pPr>
      <w:r>
        <w:rPr>
          <w:rFonts w:hint="eastAsia" w:ascii="Times New Roman" w:hAnsi="Times New Roman" w:eastAsia="仿宋" w:cs="Times New Roman"/>
          <w:b/>
          <w:bCs/>
          <w:spacing w:val="20"/>
          <w:sz w:val="24"/>
        </w:rPr>
        <w:t>（四）</w:t>
      </w:r>
      <w:r>
        <w:rPr>
          <w:rFonts w:hint="eastAsia" w:ascii="Times New Roman" w:hAnsi="Times New Roman" w:eastAsia="仿宋" w:cs="Times New Roman"/>
          <w:b/>
          <w:bCs/>
          <w:spacing w:val="20"/>
          <w:sz w:val="24"/>
          <w:lang w:val="en-US" w:eastAsia="zh-CN"/>
        </w:rPr>
        <w:t>本次债务融资工具风险分析及风险管理方案</w:t>
      </w:r>
    </w:p>
    <w:p>
      <w:pPr>
        <w:spacing w:line="360" w:lineRule="auto"/>
        <w:rPr>
          <w:rFonts w:ascii="Times New Roman" w:hAnsi="Times New Roman" w:eastAsia="仿宋" w:cs="Times New Roman"/>
          <w:b/>
          <w:bCs/>
          <w:spacing w:val="20"/>
          <w:sz w:val="24"/>
        </w:rPr>
      </w:pPr>
      <w:r>
        <w:rPr>
          <w:rFonts w:hint="eastAsia" w:ascii="Times New Roman" w:hAnsi="Times New Roman" w:eastAsia="仿宋" w:cs="Times New Roman"/>
          <w:b/>
          <w:bCs/>
          <w:spacing w:val="20"/>
          <w:sz w:val="24"/>
        </w:rPr>
        <w:t>（五）</w:t>
      </w:r>
      <w:r>
        <w:rPr>
          <w:rFonts w:hint="eastAsia" w:ascii="Times New Roman" w:hAnsi="Times New Roman" w:eastAsia="仿宋" w:cs="Times New Roman"/>
          <w:b/>
          <w:bCs/>
          <w:spacing w:val="20"/>
          <w:sz w:val="24"/>
          <w:lang w:val="en-US" w:eastAsia="zh-CN"/>
        </w:rPr>
        <w:t>加快债券发行申请的审批速度及相应资源投入的措施</w:t>
      </w:r>
    </w:p>
    <w:p>
      <w:pPr>
        <w:pStyle w:val="2"/>
        <w:ind w:left="0" w:leftChars="0" w:firstLine="0" w:firstLineChars="0"/>
        <w:rPr>
          <w:rFonts w:hint="eastAsia" w:ascii="Times New Roman" w:hAnsi="Times New Roman" w:eastAsia="仿宋" w:cs="Times New Roman"/>
          <w:b/>
          <w:bCs/>
          <w:spacing w:val="20"/>
          <w:kern w:val="2"/>
          <w:sz w:val="24"/>
          <w:szCs w:val="24"/>
          <w:lang w:val="en-US" w:eastAsia="zh-CN" w:bidi="ar-SA"/>
        </w:rPr>
      </w:pP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pStyle w:val="2"/>
        <w:rPr>
          <w:rFonts w:hint="eastAsia" w:ascii="Times New Roman" w:hAnsi="Times New Roman" w:eastAsia="仿宋" w:cs="Times New Roman"/>
          <w:b/>
          <w:bCs/>
          <w:spacing w:val="20"/>
          <w:sz w:val="24"/>
          <w:lang w:val="en-US" w:eastAsia="zh-CN"/>
        </w:rPr>
      </w:pPr>
    </w:p>
    <w:p>
      <w:pPr>
        <w:rPr>
          <w:rFonts w:hint="eastAsia" w:ascii="Times New Roman" w:hAnsi="Times New Roman" w:eastAsia="仿宋" w:cs="Times New Roman"/>
          <w:b/>
          <w:bCs/>
          <w:spacing w:val="20"/>
          <w:sz w:val="24"/>
          <w:lang w:val="en-US" w:eastAsia="zh-CN"/>
        </w:rPr>
      </w:pPr>
    </w:p>
    <w:p>
      <w:pPr>
        <w:spacing w:line="500" w:lineRule="exact"/>
        <w:ind w:firstLine="281" w:firstLineChars="100"/>
        <w:jc w:val="left"/>
        <w:rPr>
          <w:rFonts w:hint="eastAsia"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九、履约保证金承诺</w:t>
      </w:r>
    </w:p>
    <w:p>
      <w:pPr>
        <w:spacing w:before="240" w:beforeLines="100" w:after="240" w:afterLines="100" w:line="580" w:lineRule="exact"/>
        <w:jc w:val="center"/>
        <w:rPr>
          <w:rFonts w:hint="eastAsia" w:ascii="仿宋" w:hAnsi="仿宋" w:eastAsia="仿宋" w:cs="仿宋"/>
          <w:sz w:val="28"/>
          <w:szCs w:val="28"/>
          <w:highlight w:val="none"/>
        </w:rPr>
      </w:pPr>
      <w:r>
        <w:rPr>
          <w:rFonts w:hint="eastAsia" w:ascii="仿宋" w:hAnsi="仿宋" w:eastAsia="仿宋" w:cs="仿宋"/>
          <w:b/>
          <w:bCs/>
          <w:kern w:val="11"/>
          <w:sz w:val="36"/>
          <w:szCs w:val="36"/>
          <w:highlight w:val="none"/>
          <w:lang w:val="en-US" w:eastAsia="zh-CN"/>
        </w:rPr>
        <w:t>承诺函</w:t>
      </w:r>
    </w:p>
    <w:p>
      <w:pPr>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val="en-US" w:eastAsia="zh-CN"/>
        </w:rPr>
        <w:t>萧县交通投资有限责任</w:t>
      </w:r>
      <w:r>
        <w:rPr>
          <w:rFonts w:hint="eastAsia" w:ascii="仿宋" w:hAnsi="仿宋" w:eastAsia="仿宋" w:cs="仿宋"/>
          <w:sz w:val="32"/>
          <w:szCs w:val="32"/>
        </w:rPr>
        <w:t>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val="en-US" w:eastAsia="zh-CN"/>
        </w:rPr>
        <w:t>公司</w:t>
      </w:r>
      <w:r>
        <w:rPr>
          <w:rFonts w:hint="eastAsia" w:ascii="仿宋" w:hAnsi="仿宋" w:eastAsia="仿宋" w:cs="仿宋"/>
          <w:sz w:val="32"/>
          <w:szCs w:val="32"/>
        </w:rPr>
        <w:t>参加</w:t>
      </w:r>
      <w:r>
        <w:rPr>
          <w:rFonts w:hint="eastAsia" w:ascii="仿宋" w:hAnsi="仿宋" w:eastAsia="仿宋" w:cs="仿宋"/>
          <w:sz w:val="32"/>
          <w:szCs w:val="32"/>
          <w:lang w:val="en-US" w:eastAsia="zh-CN"/>
        </w:rPr>
        <w:t>萧县交通投资有限责任</w:t>
      </w:r>
      <w:r>
        <w:rPr>
          <w:rFonts w:hint="eastAsia" w:ascii="仿宋" w:hAnsi="仿宋" w:eastAsia="仿宋" w:cs="仿宋"/>
          <w:sz w:val="32"/>
          <w:szCs w:val="32"/>
        </w:rPr>
        <w:t>公司</w:t>
      </w:r>
      <w:r>
        <w:rPr>
          <w:rFonts w:hint="eastAsia" w:ascii="仿宋" w:hAnsi="仿宋" w:eastAsia="仿宋" w:cs="仿宋"/>
          <w:sz w:val="32"/>
          <w:szCs w:val="32"/>
          <w:lang w:val="en-US" w:eastAsia="zh-CN"/>
        </w:rPr>
        <w:t>2024年非公开发行定向债务融资工具（PPN）</w:t>
      </w:r>
      <w:r>
        <w:rPr>
          <w:rFonts w:hint="eastAsia" w:ascii="仿宋" w:hAnsi="仿宋" w:eastAsia="仿宋" w:cs="仿宋"/>
          <w:sz w:val="32"/>
          <w:szCs w:val="32"/>
        </w:rPr>
        <w:t>主承销商项目比选活动，处理与本次比选项目有关事宜。</w:t>
      </w:r>
      <w:r>
        <w:rPr>
          <w:rFonts w:hint="eastAsia" w:ascii="仿宋" w:hAnsi="仿宋" w:eastAsia="仿宋" w:cs="仿宋"/>
          <w:sz w:val="32"/>
          <w:szCs w:val="32"/>
          <w:lang w:val="en-US" w:eastAsia="zh-CN"/>
        </w:rPr>
        <w:t>现承诺</w:t>
      </w:r>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w:t>
      </w:r>
      <w:r>
        <w:rPr>
          <w:rFonts w:hint="eastAsia" w:ascii="仿宋" w:hAnsi="仿宋" w:eastAsia="仿宋" w:cs="仿宋"/>
          <w:sz w:val="32"/>
          <w:szCs w:val="32"/>
        </w:rPr>
        <w:t>公司已详细审核全部比选文件及其有关补充文件，</w:t>
      </w:r>
      <w:r>
        <w:rPr>
          <w:rFonts w:hint="eastAsia" w:ascii="仿宋" w:hAnsi="仿宋" w:eastAsia="仿宋" w:cs="仿宋"/>
          <w:sz w:val="32"/>
          <w:szCs w:val="32"/>
          <w:lang w:val="en-US" w:eastAsia="zh-CN"/>
        </w:rPr>
        <w:t>对贵公司充分了解。</w:t>
      </w:r>
      <w:r>
        <w:rPr>
          <w:rFonts w:hint="eastAsia" w:ascii="仿宋" w:hAnsi="仿宋" w:eastAsia="仿宋" w:cs="仿宋"/>
          <w:sz w:val="32"/>
          <w:szCs w:val="32"/>
        </w:rPr>
        <w:t>一旦我</w:t>
      </w:r>
      <w:r>
        <w:rPr>
          <w:rFonts w:hint="eastAsia" w:ascii="仿宋" w:hAnsi="仿宋" w:eastAsia="仿宋" w:cs="仿宋"/>
          <w:sz w:val="32"/>
          <w:szCs w:val="32"/>
          <w:lang w:val="en-US" w:eastAsia="zh-CN"/>
        </w:rPr>
        <w:t>公司</w:t>
      </w:r>
      <w:r>
        <w:rPr>
          <w:rFonts w:hint="eastAsia" w:ascii="仿宋" w:hAnsi="仿宋" w:eastAsia="仿宋" w:cs="仿宋"/>
          <w:sz w:val="32"/>
          <w:szCs w:val="32"/>
        </w:rPr>
        <w:t>作为中选人，我</w:t>
      </w:r>
      <w:r>
        <w:rPr>
          <w:rFonts w:hint="eastAsia" w:ascii="仿宋" w:hAnsi="仿宋" w:eastAsia="仿宋" w:cs="仿宋"/>
          <w:sz w:val="32"/>
          <w:szCs w:val="32"/>
          <w:lang w:val="en-US" w:eastAsia="zh-CN"/>
        </w:rPr>
        <w:t>公司</w:t>
      </w:r>
      <w:r>
        <w:rPr>
          <w:rFonts w:hint="eastAsia" w:ascii="仿宋" w:hAnsi="仿宋" w:eastAsia="仿宋" w:cs="仿宋"/>
          <w:sz w:val="32"/>
          <w:szCs w:val="32"/>
        </w:rPr>
        <w:t>将严格履行合同规定的责任和义务，保证按比选文件中规定的要求和比选中的承诺为</w:t>
      </w:r>
      <w:r>
        <w:rPr>
          <w:rFonts w:hint="eastAsia" w:ascii="仿宋" w:hAnsi="仿宋" w:eastAsia="仿宋" w:cs="仿宋"/>
          <w:sz w:val="32"/>
          <w:szCs w:val="32"/>
          <w:lang w:val="en-US" w:eastAsia="zh-CN"/>
        </w:rPr>
        <w:t>萧县交通投资有限责任</w:t>
      </w:r>
      <w:r>
        <w:rPr>
          <w:rFonts w:hint="eastAsia" w:ascii="仿宋" w:hAnsi="仿宋" w:eastAsia="仿宋" w:cs="仿宋"/>
          <w:sz w:val="32"/>
          <w:szCs w:val="32"/>
        </w:rPr>
        <w:t>公司</w:t>
      </w:r>
      <w:r>
        <w:rPr>
          <w:rFonts w:hint="eastAsia" w:ascii="仿宋" w:hAnsi="仿宋" w:eastAsia="仿宋" w:cs="仿宋"/>
          <w:sz w:val="32"/>
          <w:szCs w:val="32"/>
          <w:lang w:val="en-US" w:eastAsia="zh-CN"/>
        </w:rPr>
        <w:t>2024年非公开发行定向债务融资工具（PPN）</w:t>
      </w:r>
      <w:r>
        <w:rPr>
          <w:rFonts w:hint="eastAsia" w:ascii="仿宋" w:hAnsi="仿宋" w:eastAsia="仿宋" w:cs="仿宋"/>
          <w:sz w:val="32"/>
          <w:szCs w:val="32"/>
        </w:rPr>
        <w:t>提供优质的承销服务。</w:t>
      </w:r>
      <w:r>
        <w:rPr>
          <w:rFonts w:hint="eastAsia" w:ascii="仿宋" w:hAnsi="仿宋" w:eastAsia="仿宋" w:cs="仿宋"/>
          <w:sz w:val="32"/>
          <w:szCs w:val="32"/>
          <w:lang w:val="en-US" w:eastAsia="zh-CN"/>
        </w:rPr>
        <w:t>同意缴纳履约保证金（金额5亿*中标承销费率*10%），同意接受贵公司对本次业务的考核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如考核不合格</w:t>
      </w:r>
      <w:r>
        <w:rPr>
          <w:rFonts w:hint="eastAsia" w:ascii="仿宋" w:hAnsi="仿宋" w:eastAsia="仿宋" w:cs="仿宋"/>
          <w:sz w:val="32"/>
          <w:szCs w:val="32"/>
        </w:rPr>
        <w:t>接受</w:t>
      </w:r>
      <w:r>
        <w:rPr>
          <w:rFonts w:hint="eastAsia" w:ascii="仿宋" w:hAnsi="仿宋" w:eastAsia="仿宋" w:cs="仿宋"/>
          <w:sz w:val="32"/>
          <w:szCs w:val="32"/>
          <w:lang w:val="en-US" w:eastAsia="zh-CN"/>
        </w:rPr>
        <w:t>扣除履约保证金</w:t>
      </w:r>
      <w:r>
        <w:rPr>
          <w:rFonts w:hint="eastAsia" w:ascii="仿宋" w:hAnsi="仿宋" w:eastAsia="仿宋" w:cs="仿宋"/>
          <w:sz w:val="32"/>
          <w:szCs w:val="32"/>
        </w:rPr>
        <w:t>的处罚</w:t>
      </w:r>
      <w:r>
        <w:rPr>
          <w:rFonts w:hint="eastAsia" w:ascii="仿宋" w:hAnsi="仿宋" w:eastAsia="仿宋" w:cs="仿宋"/>
          <w:sz w:val="32"/>
          <w:szCs w:val="32"/>
          <w:lang w:eastAsia="zh-CN"/>
        </w:rPr>
        <w:t>，</w:t>
      </w:r>
      <w:r>
        <w:rPr>
          <w:rFonts w:hint="eastAsia" w:ascii="仿宋" w:hAnsi="仿宋" w:eastAsia="仿宋" w:cs="仿宋"/>
          <w:sz w:val="32"/>
          <w:szCs w:val="32"/>
        </w:rPr>
        <w:t>所造成的一切损失由我方承担。</w:t>
      </w:r>
    </w:p>
    <w:p>
      <w:pPr>
        <w:pStyle w:val="9"/>
        <w:kinsoku w:val="0"/>
        <w:overflowPunct w:val="0"/>
        <w:autoSpaceDE w:val="0"/>
        <w:autoSpaceDN w:val="0"/>
        <w:spacing w:line="580" w:lineRule="exact"/>
        <w:ind w:firstLine="640"/>
        <w:rPr>
          <w:rFonts w:hint="eastAsia" w:ascii="仿宋" w:hAnsi="仿宋" w:eastAsia="仿宋" w:cs="仿宋"/>
          <w:sz w:val="32"/>
          <w:szCs w:val="32"/>
          <w:highlight w:val="none"/>
        </w:rPr>
      </w:pPr>
    </w:p>
    <w:p>
      <w:pPr>
        <w:pStyle w:val="9"/>
        <w:kinsoku w:val="0"/>
        <w:overflowPunct w:val="0"/>
        <w:autoSpaceDE w:val="0"/>
        <w:autoSpaceDN w:val="0"/>
        <w:spacing w:line="580" w:lineRule="exact"/>
        <w:ind w:firstLine="640"/>
        <w:rPr>
          <w:rFonts w:hint="eastAsia" w:ascii="仿宋" w:hAnsi="仿宋" w:eastAsia="仿宋" w:cs="仿宋"/>
          <w:sz w:val="32"/>
          <w:szCs w:val="32"/>
          <w:highlight w:val="none"/>
        </w:rPr>
      </w:pPr>
    </w:p>
    <w:p>
      <w:pPr>
        <w:pStyle w:val="9"/>
        <w:kinsoku w:val="0"/>
        <w:overflowPunct w:val="0"/>
        <w:autoSpaceDE w:val="0"/>
        <w:autoSpaceDN w:val="0"/>
        <w:spacing w:line="58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比选申请单位法定代表人或授权委托人：</w:t>
      </w:r>
    </w:p>
    <w:p>
      <w:pPr>
        <w:pStyle w:val="9"/>
        <w:kinsoku w:val="0"/>
        <w:overflowPunct w:val="0"/>
        <w:autoSpaceDE w:val="0"/>
        <w:autoSpaceDN w:val="0"/>
        <w:spacing w:line="58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比选申请单位（盖章）：</w:t>
      </w:r>
    </w:p>
    <w:p>
      <w:pPr>
        <w:pStyle w:val="9"/>
        <w:kinsoku w:val="0"/>
        <w:overflowPunct w:val="0"/>
        <w:autoSpaceDE w:val="0"/>
        <w:autoSpaceDN w:val="0"/>
        <w:spacing w:line="58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通讯地址：</w:t>
      </w:r>
    </w:p>
    <w:p>
      <w:pPr>
        <w:pStyle w:val="9"/>
        <w:kinsoku w:val="0"/>
        <w:overflowPunct w:val="0"/>
        <w:autoSpaceDE w:val="0"/>
        <w:autoSpaceDN w:val="0"/>
        <w:spacing w:line="580"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联系人：                 联系电话：</w:t>
      </w:r>
    </w:p>
    <w:p>
      <w:pPr>
        <w:pStyle w:val="9"/>
        <w:kinsoku w:val="0"/>
        <w:overflowPunct w:val="0"/>
        <w:autoSpaceDE w:val="0"/>
        <w:autoSpaceDN w:val="0"/>
        <w:spacing w:line="580" w:lineRule="exact"/>
        <w:ind w:left="0" w:leftChars="0" w:firstLine="4160" w:firstLineChars="1300"/>
        <w:rPr>
          <w:rFonts w:hint="eastAsia" w:ascii="Times New Roman" w:hAnsi="Times New Roman" w:eastAsia="仿宋" w:cs="Times New Roman"/>
          <w:b/>
          <w:bCs/>
          <w:spacing w:val="20"/>
          <w:sz w:val="24"/>
          <w:lang w:val="en-US" w:eastAsia="zh-CN"/>
        </w:rPr>
      </w:pPr>
      <w:r>
        <w:rPr>
          <w:rFonts w:hint="eastAsia" w:ascii="仿宋" w:hAnsi="仿宋" w:eastAsia="仿宋" w:cs="仿宋"/>
          <w:sz w:val="32"/>
          <w:szCs w:val="32"/>
          <w:highlight w:val="none"/>
        </w:rPr>
        <w:t>日期：     年   月   日</w:t>
      </w:r>
    </w:p>
    <w:p>
      <w:pPr>
        <w:spacing w:line="360" w:lineRule="auto"/>
        <w:rPr>
          <w:rFonts w:hint="eastAsia" w:ascii="Times New Roman" w:hAnsi="Times New Roman" w:eastAsia="仿宋" w:cs="Times New Roman"/>
          <w:b/>
          <w:bCs/>
          <w:spacing w:val="20"/>
          <w:sz w:val="24"/>
          <w:lang w:val="en-US" w:eastAsia="zh-CN"/>
        </w:rPr>
      </w:pPr>
    </w:p>
    <w:p>
      <w:pPr>
        <w:spacing w:line="360" w:lineRule="auto"/>
        <w:rPr>
          <w:rFonts w:hint="default" w:ascii="Times New Roman" w:hAnsi="Times New Roman" w:eastAsia="仿宋" w:cs="Times New Roman"/>
          <w:b/>
          <w:bCs/>
          <w:spacing w:val="20"/>
          <w:sz w:val="24"/>
          <w:lang w:val="en-US" w:eastAsia="zh-CN"/>
        </w:rPr>
      </w:pPr>
      <w:r>
        <w:rPr>
          <w:rFonts w:hint="eastAsia" w:ascii="Times New Roman" w:hAnsi="Times New Roman" w:eastAsia="仿宋" w:cs="Times New Roman"/>
          <w:b/>
          <w:bCs/>
          <w:spacing w:val="20"/>
          <w:sz w:val="24"/>
          <w:lang w:val="en-US" w:eastAsia="zh-CN"/>
        </w:rPr>
        <w:t>十、其他材料</w:t>
      </w:r>
    </w:p>
    <w:p>
      <w:pPr>
        <w:spacing w:line="360" w:lineRule="auto"/>
        <w:jc w:val="center"/>
        <w:rPr>
          <w:rFonts w:hint="eastAsia" w:eastAsia="楷体"/>
          <w:b/>
          <w:spacing w:val="20"/>
          <w:sz w:val="24"/>
        </w:rPr>
      </w:pPr>
      <w:r>
        <w:rPr>
          <w:rFonts w:ascii="Times New Roman" w:hAnsi="Times New Roman" w:eastAsia="仿宋"/>
          <w:spacing w:val="20"/>
          <w:sz w:val="24"/>
        </w:rPr>
        <w:br w:type="page"/>
      </w:r>
      <w:bookmarkStart w:id="29" w:name="_Toc5859"/>
      <w:r>
        <w:rPr>
          <w:rFonts w:hint="eastAsia" w:eastAsia="楷体"/>
          <w:sz w:val="32"/>
          <w:szCs w:val="32"/>
        </w:rPr>
        <w:t>参选注意事项</w:t>
      </w:r>
      <w:bookmarkEnd w:id="29"/>
    </w:p>
    <w:p>
      <w:pPr>
        <w:numPr>
          <w:ilvl w:val="0"/>
          <w:numId w:val="1"/>
        </w:numPr>
        <w:spacing w:before="156" w:beforeLines="50" w:line="360" w:lineRule="auto"/>
        <w:rPr>
          <w:rFonts w:hint="eastAsia" w:ascii="仿宋" w:hAnsi="仿宋" w:eastAsia="仿宋" w:cs="仿宋"/>
          <w:b/>
          <w:spacing w:val="20"/>
          <w:sz w:val="24"/>
        </w:rPr>
      </w:pPr>
      <w:r>
        <w:rPr>
          <w:rFonts w:hint="eastAsia" w:ascii="仿宋" w:hAnsi="仿宋" w:eastAsia="仿宋" w:cs="仿宋"/>
          <w:spacing w:val="20"/>
          <w:sz w:val="24"/>
        </w:rPr>
        <w:t>参选</w:t>
      </w:r>
      <w:r>
        <w:rPr>
          <w:rFonts w:hint="eastAsia" w:ascii="仿宋" w:hAnsi="仿宋" w:eastAsia="仿宋" w:cs="仿宋"/>
          <w:spacing w:val="20"/>
          <w:sz w:val="24"/>
          <w:lang w:eastAsia="zh-CN"/>
        </w:rPr>
        <w:t>机构</w:t>
      </w:r>
      <w:r>
        <w:rPr>
          <w:rFonts w:hint="eastAsia" w:ascii="仿宋" w:hAnsi="仿宋" w:eastAsia="仿宋" w:cs="仿宋"/>
          <w:spacing w:val="20"/>
          <w:sz w:val="24"/>
        </w:rPr>
        <w:t>须严格按照参选文件的要求和格式执行。参选文件必须条理清晰、一目了然，便于评审专家评估。</w:t>
      </w:r>
    </w:p>
    <w:p>
      <w:pPr>
        <w:numPr>
          <w:ilvl w:val="0"/>
          <w:numId w:val="1"/>
        </w:numPr>
        <w:spacing w:before="156" w:beforeLines="50" w:line="360" w:lineRule="auto"/>
        <w:rPr>
          <w:rFonts w:hint="eastAsia" w:ascii="仿宋" w:hAnsi="仿宋" w:eastAsia="仿宋" w:cs="仿宋"/>
          <w:spacing w:val="20"/>
          <w:sz w:val="24"/>
        </w:rPr>
      </w:pPr>
      <w:r>
        <w:rPr>
          <w:rFonts w:hint="eastAsia" w:ascii="仿宋" w:hAnsi="仿宋" w:eastAsia="仿宋" w:cs="仿宋"/>
          <w:spacing w:val="20"/>
          <w:sz w:val="24"/>
        </w:rPr>
        <w:t>参选文件一式5份，请参选</w:t>
      </w:r>
      <w:r>
        <w:rPr>
          <w:rFonts w:hint="eastAsia" w:ascii="仿宋" w:hAnsi="仿宋" w:eastAsia="仿宋" w:cs="仿宋"/>
          <w:spacing w:val="20"/>
          <w:sz w:val="24"/>
          <w:lang w:eastAsia="zh-CN"/>
        </w:rPr>
        <w:t>机构</w:t>
      </w:r>
      <w:r>
        <w:rPr>
          <w:rFonts w:hint="eastAsia" w:ascii="仿宋" w:hAnsi="仿宋" w:eastAsia="仿宋" w:cs="仿宋"/>
          <w:spacing w:val="20"/>
          <w:sz w:val="24"/>
        </w:rPr>
        <w:t>自行复印装订。</w:t>
      </w:r>
    </w:p>
    <w:p>
      <w:pPr>
        <w:numPr>
          <w:ilvl w:val="0"/>
          <w:numId w:val="1"/>
        </w:numPr>
        <w:spacing w:before="156" w:beforeLines="50" w:line="360" w:lineRule="auto"/>
        <w:rPr>
          <w:rFonts w:hint="eastAsia" w:ascii="仿宋" w:hAnsi="仿宋" w:eastAsia="仿宋" w:cs="仿宋"/>
          <w:spacing w:val="20"/>
          <w:sz w:val="24"/>
        </w:rPr>
      </w:pPr>
      <w:r>
        <w:rPr>
          <w:rFonts w:hint="eastAsia" w:ascii="仿宋" w:hAnsi="仿宋" w:eastAsia="仿宋" w:cs="仿宋"/>
          <w:spacing w:val="20"/>
          <w:sz w:val="24"/>
        </w:rPr>
        <w:t>根据萧县交投的业务安排，现确定所有参选纸质文件务必于</w:t>
      </w:r>
      <w:r>
        <w:rPr>
          <w:rFonts w:hint="eastAsia" w:ascii="仿宋" w:hAnsi="仿宋" w:eastAsia="仿宋" w:cs="仿宋"/>
          <w:spacing w:val="20"/>
          <w:sz w:val="24"/>
          <w:highlight w:val="none"/>
        </w:rPr>
        <w:t>202</w:t>
      </w:r>
      <w:r>
        <w:rPr>
          <w:rFonts w:ascii="仿宋" w:hAnsi="仿宋" w:eastAsia="仿宋" w:cs="仿宋"/>
          <w:spacing w:val="20"/>
          <w:sz w:val="24"/>
          <w:highlight w:val="none"/>
        </w:rPr>
        <w:t>4</w:t>
      </w:r>
      <w:r>
        <w:rPr>
          <w:rFonts w:hint="eastAsia" w:ascii="仿宋" w:hAnsi="仿宋" w:eastAsia="仿宋" w:cs="仿宋"/>
          <w:spacing w:val="20"/>
          <w:sz w:val="24"/>
          <w:highlight w:val="none"/>
        </w:rPr>
        <w:t>年</w:t>
      </w:r>
      <w:r>
        <w:rPr>
          <w:rFonts w:hint="eastAsia" w:ascii="仿宋" w:hAnsi="仿宋" w:eastAsia="仿宋" w:cs="仿宋"/>
          <w:spacing w:val="20"/>
          <w:sz w:val="24"/>
          <w:highlight w:val="none"/>
          <w:lang w:val="en-US" w:eastAsia="zh-CN"/>
        </w:rPr>
        <w:t>2</w:t>
      </w:r>
      <w:r>
        <w:rPr>
          <w:rFonts w:hint="eastAsia" w:ascii="仿宋" w:hAnsi="仿宋" w:eastAsia="仿宋" w:cs="仿宋"/>
          <w:spacing w:val="20"/>
          <w:sz w:val="24"/>
          <w:highlight w:val="none"/>
        </w:rPr>
        <w:t>月</w:t>
      </w:r>
      <w:r>
        <w:rPr>
          <w:rFonts w:hint="eastAsia" w:ascii="仿宋" w:hAnsi="仿宋" w:eastAsia="仿宋" w:cs="仿宋"/>
          <w:spacing w:val="20"/>
          <w:sz w:val="24"/>
          <w:highlight w:val="none"/>
          <w:lang w:val="en-US" w:eastAsia="zh-CN"/>
        </w:rPr>
        <w:t>5</w:t>
      </w:r>
      <w:r>
        <w:rPr>
          <w:rFonts w:hint="eastAsia" w:ascii="仿宋" w:hAnsi="仿宋" w:eastAsia="仿宋" w:cs="仿宋"/>
          <w:spacing w:val="20"/>
          <w:sz w:val="24"/>
          <w:highlight w:val="none"/>
        </w:rPr>
        <w:t>日9点前（以签</w:t>
      </w:r>
      <w:r>
        <w:rPr>
          <w:rFonts w:hint="eastAsia" w:ascii="仿宋" w:hAnsi="仿宋" w:eastAsia="仿宋" w:cs="仿宋"/>
          <w:spacing w:val="20"/>
          <w:sz w:val="24"/>
        </w:rPr>
        <w:t>收时间为准）以递交、</w:t>
      </w:r>
      <w:r>
        <w:rPr>
          <w:rFonts w:hint="eastAsia" w:ascii="仿宋" w:hAnsi="仿宋" w:eastAsia="仿宋" w:cs="仿宋"/>
          <w:bCs/>
          <w:spacing w:val="20"/>
          <w:sz w:val="24"/>
        </w:rPr>
        <w:t>邮寄</w:t>
      </w:r>
      <w:r>
        <w:rPr>
          <w:rFonts w:hint="eastAsia" w:ascii="仿宋" w:hAnsi="仿宋" w:eastAsia="仿宋" w:cs="仿宋"/>
          <w:spacing w:val="20"/>
          <w:sz w:val="24"/>
        </w:rPr>
        <w:t>送达萧县交投，逾期送达的参选文件视为无效。</w:t>
      </w:r>
    </w:p>
    <w:p>
      <w:pPr>
        <w:numPr>
          <w:ilvl w:val="0"/>
          <w:numId w:val="1"/>
        </w:numPr>
        <w:spacing w:before="156" w:beforeLines="50" w:line="360" w:lineRule="auto"/>
        <w:rPr>
          <w:rFonts w:hint="eastAsia" w:ascii="仿宋" w:hAnsi="仿宋" w:eastAsia="仿宋" w:cs="仿宋"/>
          <w:spacing w:val="20"/>
          <w:sz w:val="24"/>
        </w:rPr>
      </w:pPr>
      <w:r>
        <w:rPr>
          <w:rFonts w:hint="eastAsia" w:ascii="仿宋" w:hAnsi="仿宋" w:eastAsia="仿宋" w:cs="仿宋"/>
          <w:b/>
          <w:bCs/>
          <w:spacing w:val="20"/>
          <w:sz w:val="24"/>
        </w:rPr>
        <w:t>202</w:t>
      </w:r>
      <w:r>
        <w:rPr>
          <w:rFonts w:ascii="仿宋" w:hAnsi="仿宋" w:eastAsia="仿宋" w:cs="仿宋"/>
          <w:b/>
          <w:bCs/>
          <w:spacing w:val="20"/>
          <w:sz w:val="24"/>
        </w:rPr>
        <w:t>4</w:t>
      </w:r>
      <w:r>
        <w:rPr>
          <w:rFonts w:hint="eastAsia" w:ascii="仿宋" w:hAnsi="仿宋" w:eastAsia="仿宋" w:cs="仿宋"/>
          <w:b/>
          <w:bCs/>
          <w:spacing w:val="20"/>
          <w:sz w:val="24"/>
        </w:rPr>
        <w:t>年</w:t>
      </w:r>
      <w:r>
        <w:rPr>
          <w:rFonts w:hint="eastAsia" w:ascii="仿宋" w:hAnsi="仿宋" w:eastAsia="仿宋" w:cs="仿宋"/>
          <w:b/>
          <w:bCs/>
          <w:spacing w:val="20"/>
          <w:sz w:val="24"/>
          <w:lang w:val="en-US" w:eastAsia="zh-CN"/>
        </w:rPr>
        <w:t>2</w:t>
      </w:r>
      <w:r>
        <w:rPr>
          <w:rFonts w:hint="eastAsia" w:ascii="仿宋" w:hAnsi="仿宋" w:eastAsia="仿宋" w:cs="仿宋"/>
          <w:b/>
          <w:bCs/>
          <w:spacing w:val="20"/>
          <w:sz w:val="24"/>
        </w:rPr>
        <w:t>月</w:t>
      </w:r>
      <w:r>
        <w:rPr>
          <w:rFonts w:hint="eastAsia" w:ascii="仿宋" w:hAnsi="仿宋" w:eastAsia="仿宋" w:cs="仿宋"/>
          <w:b/>
          <w:bCs/>
          <w:spacing w:val="20"/>
          <w:sz w:val="24"/>
          <w:lang w:val="en-US" w:eastAsia="zh-CN"/>
        </w:rPr>
        <w:t>5</w:t>
      </w:r>
      <w:r>
        <w:rPr>
          <w:rFonts w:hint="eastAsia" w:ascii="仿宋" w:hAnsi="仿宋" w:eastAsia="仿宋" w:cs="仿宋"/>
          <w:b/>
          <w:bCs/>
          <w:spacing w:val="20"/>
          <w:sz w:val="24"/>
        </w:rPr>
        <w:t>日</w:t>
      </w:r>
      <w:r>
        <w:rPr>
          <w:rFonts w:ascii="仿宋" w:hAnsi="仿宋" w:eastAsia="仿宋" w:cs="仿宋"/>
          <w:b/>
          <w:bCs/>
          <w:spacing w:val="20"/>
          <w:sz w:val="24"/>
        </w:rPr>
        <w:t>9</w:t>
      </w:r>
      <w:r>
        <w:rPr>
          <w:rFonts w:hint="eastAsia" w:ascii="仿宋" w:hAnsi="仿宋" w:eastAsia="仿宋" w:cs="仿宋"/>
          <w:b/>
          <w:bCs/>
          <w:spacing w:val="20"/>
          <w:sz w:val="24"/>
        </w:rPr>
        <w:t>点</w:t>
      </w:r>
      <w:r>
        <w:rPr>
          <w:rFonts w:hint="eastAsia" w:ascii="仿宋" w:hAnsi="仿宋" w:eastAsia="仿宋" w:cs="仿宋"/>
          <w:spacing w:val="20"/>
          <w:sz w:val="24"/>
        </w:rPr>
        <w:t>开始评标工作，</w:t>
      </w:r>
      <w:r>
        <w:rPr>
          <w:rFonts w:hint="eastAsia" w:ascii="仿宋" w:hAnsi="仿宋" w:eastAsia="仿宋" w:cs="仿宋"/>
          <w:b/>
          <w:spacing w:val="20"/>
          <w:sz w:val="24"/>
        </w:rPr>
        <w:t>本次招标无现场述标环节</w:t>
      </w:r>
      <w:r>
        <w:rPr>
          <w:rFonts w:hint="eastAsia" w:ascii="仿宋" w:hAnsi="仿宋" w:eastAsia="仿宋" w:cs="仿宋"/>
          <w:spacing w:val="20"/>
          <w:sz w:val="24"/>
        </w:rPr>
        <w:t>，参选</w:t>
      </w:r>
      <w:r>
        <w:rPr>
          <w:rFonts w:hint="eastAsia" w:ascii="仿宋" w:hAnsi="仿宋" w:eastAsia="仿宋" w:cs="仿宋"/>
          <w:spacing w:val="20"/>
          <w:sz w:val="24"/>
          <w:lang w:eastAsia="zh-CN"/>
        </w:rPr>
        <w:t>机构</w:t>
      </w:r>
      <w:r>
        <w:rPr>
          <w:rFonts w:hint="eastAsia" w:ascii="仿宋" w:hAnsi="仿宋" w:eastAsia="仿宋" w:cs="仿宋"/>
          <w:spacing w:val="20"/>
          <w:sz w:val="24"/>
        </w:rPr>
        <w:t>代表无需到达现场。评标环节由评审专家组阅读投标文件直接打分，因此请务必将相关信息表述详实，以便评审专家审阅。</w:t>
      </w:r>
    </w:p>
    <w:p>
      <w:pPr>
        <w:numPr>
          <w:ilvl w:val="0"/>
          <w:numId w:val="1"/>
        </w:numPr>
        <w:spacing w:before="156" w:beforeLines="50" w:line="360" w:lineRule="auto"/>
        <w:rPr>
          <w:rFonts w:hint="eastAsia" w:ascii="仿宋" w:hAnsi="仿宋" w:eastAsia="仿宋" w:cs="仿宋"/>
          <w:spacing w:val="20"/>
          <w:sz w:val="24"/>
        </w:rPr>
      </w:pPr>
      <w:r>
        <w:rPr>
          <w:rFonts w:hint="eastAsia" w:ascii="仿宋" w:hAnsi="仿宋" w:eastAsia="仿宋" w:cs="仿宋"/>
          <w:spacing w:val="20"/>
          <w:sz w:val="24"/>
        </w:rPr>
        <w:t>如无特别声明，本文件中“萧县交通投资有限责任公司”可简称“萧县交投”。</w:t>
      </w:r>
    </w:p>
    <w:p>
      <w:pPr>
        <w:numPr>
          <w:ilvl w:val="0"/>
          <w:numId w:val="1"/>
        </w:numPr>
        <w:spacing w:before="156" w:beforeLines="50" w:line="360" w:lineRule="auto"/>
        <w:rPr>
          <w:rFonts w:hint="eastAsia" w:ascii="仿宋" w:hAnsi="仿宋" w:eastAsia="仿宋" w:cs="仿宋"/>
          <w:spacing w:val="20"/>
          <w:sz w:val="24"/>
        </w:rPr>
      </w:pPr>
      <w:r>
        <w:rPr>
          <w:rFonts w:hint="eastAsia" w:ascii="仿宋" w:hAnsi="仿宋" w:eastAsia="仿宋" w:cs="仿宋"/>
          <w:spacing w:val="20"/>
          <w:sz w:val="24"/>
        </w:rPr>
        <w:t>萧县交通投资有限责任公司有不接受任何参选</w:t>
      </w:r>
      <w:r>
        <w:rPr>
          <w:rFonts w:hint="eastAsia" w:ascii="仿宋" w:hAnsi="仿宋" w:eastAsia="仿宋" w:cs="仿宋"/>
          <w:spacing w:val="20"/>
          <w:sz w:val="24"/>
          <w:lang w:eastAsia="zh-CN"/>
        </w:rPr>
        <w:t>机构</w:t>
      </w:r>
      <w:r>
        <w:rPr>
          <w:rFonts w:hint="eastAsia" w:ascii="仿宋" w:hAnsi="仿宋" w:eastAsia="仿宋" w:cs="仿宋"/>
          <w:spacing w:val="20"/>
          <w:sz w:val="24"/>
        </w:rPr>
        <w:t>而无需做出解释的权利。</w:t>
      </w:r>
    </w:p>
    <w:p>
      <w:pPr>
        <w:numPr>
          <w:ilvl w:val="0"/>
          <w:numId w:val="1"/>
        </w:numPr>
        <w:spacing w:before="156" w:beforeLines="50" w:line="360" w:lineRule="auto"/>
        <w:rPr>
          <w:rFonts w:hint="eastAsia" w:ascii="仿宋" w:hAnsi="仿宋" w:eastAsia="仿宋" w:cs="仿宋"/>
          <w:spacing w:val="20"/>
          <w:sz w:val="24"/>
        </w:rPr>
      </w:pPr>
      <w:r>
        <w:rPr>
          <w:rFonts w:hint="eastAsia" w:ascii="仿宋" w:hAnsi="仿宋" w:eastAsia="仿宋" w:cs="仿宋"/>
          <w:spacing w:val="20"/>
          <w:sz w:val="24"/>
        </w:rPr>
        <w:t>如有疑问，请致电萧县交投。联系人：</w:t>
      </w:r>
      <w:r>
        <w:rPr>
          <w:rFonts w:hint="eastAsia" w:ascii="仿宋" w:hAnsi="仿宋" w:eastAsia="仿宋" w:cs="仿宋"/>
          <w:spacing w:val="20"/>
          <w:sz w:val="24"/>
          <w:lang w:val="en-US" w:eastAsia="zh-CN"/>
        </w:rPr>
        <w:t>尹玉婷</w:t>
      </w:r>
      <w:r>
        <w:rPr>
          <w:rFonts w:hint="eastAsia" w:ascii="仿宋" w:hAnsi="仿宋" w:eastAsia="仿宋" w:cs="仿宋"/>
          <w:spacing w:val="20"/>
          <w:sz w:val="24"/>
        </w:rPr>
        <w:t>；联系电话：</w:t>
      </w:r>
      <w:r>
        <w:rPr>
          <w:rFonts w:ascii="仿宋" w:hAnsi="仿宋" w:eastAsia="仿宋" w:cs="仿宋"/>
          <w:spacing w:val="20"/>
          <w:sz w:val="24"/>
        </w:rPr>
        <w:t>0557-5028020</w:t>
      </w:r>
      <w:r>
        <w:rPr>
          <w:rFonts w:hint="eastAsia" w:ascii="仿宋" w:hAnsi="仿宋" w:eastAsia="仿宋" w:cs="仿宋"/>
          <w:spacing w:val="20"/>
          <w:sz w:val="24"/>
        </w:rPr>
        <w:t>；15178286766联系地址：安徽省宿州市萧县大同街1</w:t>
      </w:r>
      <w:r>
        <w:rPr>
          <w:rFonts w:ascii="仿宋" w:hAnsi="仿宋" w:eastAsia="仿宋" w:cs="仿宋"/>
          <w:spacing w:val="20"/>
          <w:sz w:val="24"/>
        </w:rPr>
        <w:t>38</w:t>
      </w:r>
      <w:r>
        <w:rPr>
          <w:rFonts w:hint="eastAsia" w:ascii="仿宋" w:hAnsi="仿宋" w:eastAsia="仿宋" w:cs="仿宋"/>
          <w:spacing w:val="20"/>
          <w:sz w:val="24"/>
        </w:rPr>
        <w:t>号2楼。</w:t>
      </w:r>
    </w:p>
    <w:p>
      <w:pPr>
        <w:spacing w:before="156" w:beforeLines="50" w:line="360" w:lineRule="auto"/>
        <w:rPr>
          <w:rFonts w:hint="eastAsia" w:ascii="仿宋" w:hAnsi="仿宋" w:eastAsia="仿宋" w:cs="仿宋"/>
          <w:spacing w:val="20"/>
          <w:sz w:val="24"/>
        </w:rPr>
      </w:pPr>
      <w:r>
        <w:rPr>
          <w:rFonts w:hint="eastAsia" w:ascii="仿宋" w:hAnsi="仿宋" w:eastAsia="仿宋" w:cs="仿宋"/>
          <w:spacing w:val="20"/>
          <w:sz w:val="24"/>
        </w:rPr>
        <w:t xml:space="preserve">                             萧县交通投资有限责任公司</w:t>
      </w:r>
    </w:p>
    <w:p>
      <w:pPr>
        <w:spacing w:line="360" w:lineRule="auto"/>
        <w:jc w:val="center"/>
        <w:rPr>
          <w:rFonts w:hint="eastAsia" w:ascii="仿宋" w:hAnsi="仿宋" w:eastAsia="仿宋" w:cs="仿宋"/>
          <w:spacing w:val="20"/>
          <w:sz w:val="24"/>
          <w:u w:val="single"/>
        </w:rPr>
      </w:pPr>
      <w:r>
        <w:rPr>
          <w:rFonts w:hint="eastAsia" w:ascii="仿宋" w:hAnsi="仿宋" w:eastAsia="仿宋" w:cs="仿宋"/>
          <w:spacing w:val="20"/>
          <w:sz w:val="24"/>
        </w:rPr>
        <w:t xml:space="preserve">                          202</w:t>
      </w:r>
      <w:r>
        <w:rPr>
          <w:rFonts w:ascii="仿宋" w:hAnsi="仿宋" w:eastAsia="仿宋" w:cs="仿宋"/>
          <w:spacing w:val="20"/>
          <w:sz w:val="24"/>
        </w:rPr>
        <w:t>4</w:t>
      </w:r>
      <w:r>
        <w:rPr>
          <w:rFonts w:hint="eastAsia" w:ascii="仿宋" w:hAnsi="仿宋" w:eastAsia="仿宋" w:cs="仿宋"/>
          <w:spacing w:val="20"/>
          <w:sz w:val="24"/>
        </w:rPr>
        <w:t>年</w:t>
      </w:r>
      <w:r>
        <w:rPr>
          <w:rFonts w:ascii="仿宋" w:hAnsi="仿宋" w:eastAsia="仿宋" w:cs="仿宋"/>
          <w:spacing w:val="20"/>
          <w:sz w:val="24"/>
        </w:rPr>
        <w:t>1</w:t>
      </w:r>
      <w:r>
        <w:rPr>
          <w:rFonts w:hint="eastAsia" w:ascii="仿宋" w:hAnsi="仿宋" w:eastAsia="仿宋" w:cs="仿宋"/>
          <w:spacing w:val="20"/>
          <w:sz w:val="24"/>
        </w:rPr>
        <w:t>月</w:t>
      </w:r>
      <w:r>
        <w:rPr>
          <w:rFonts w:ascii="仿宋" w:hAnsi="仿宋" w:eastAsia="仿宋" w:cs="仿宋"/>
          <w:spacing w:val="20"/>
          <w:sz w:val="24"/>
        </w:rPr>
        <w:t>2</w:t>
      </w:r>
      <w:r>
        <w:rPr>
          <w:rFonts w:hint="eastAsia" w:ascii="仿宋" w:hAnsi="仿宋" w:eastAsia="仿宋" w:cs="仿宋"/>
          <w:spacing w:val="20"/>
          <w:sz w:val="24"/>
          <w:lang w:val="en-US" w:eastAsia="zh-CN"/>
        </w:rPr>
        <w:t>6</w:t>
      </w:r>
      <w:r>
        <w:rPr>
          <w:rFonts w:hint="eastAsia" w:ascii="仿宋" w:hAnsi="仿宋" w:eastAsia="仿宋" w:cs="仿宋"/>
          <w:spacing w:val="20"/>
          <w:sz w:val="24"/>
        </w:rPr>
        <w:t>日</w:t>
      </w:r>
    </w:p>
    <w:sectPr>
      <w:headerReference r:id="rId3" w:type="default"/>
      <w:footerReference r:id="rId4" w:type="default"/>
      <w:footerReference r:id="rId5"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25</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90"/>
      <w:rPr>
        <w:rFonts w:hint="eastAsia" w:eastAsia="楷体_GB2312"/>
      </w:rPr>
    </w:pPr>
    <w:r>
      <w:rPr>
        <w:rFonts w:hint="eastAsia" w:eastAsia="楷体_GB2312"/>
      </w:rPr>
      <w:t>萧县交通投资有限责任</w:t>
    </w:r>
    <w:r>
      <w:rPr>
        <w:rFonts w:hint="eastAsia" w:eastAsia="楷体_GB2312"/>
        <w:lang w:val="en-US" w:eastAsia="zh-CN"/>
      </w:rPr>
      <w:t>公司2024年</w:t>
    </w:r>
    <w:r>
      <w:rPr>
        <w:rFonts w:hint="eastAsia" w:eastAsia="楷体_GB2312"/>
        <w:lang w:eastAsia="zh-CN"/>
      </w:rPr>
      <w:t>非公开</w:t>
    </w:r>
    <w:r>
      <w:rPr>
        <w:rFonts w:hint="eastAsia" w:eastAsia="楷体_GB2312"/>
        <w:lang w:val="en-US" w:eastAsia="zh-CN"/>
      </w:rPr>
      <w:t>发行</w:t>
    </w:r>
    <w:r>
      <w:rPr>
        <w:rFonts w:hint="eastAsia" w:eastAsia="楷体_GB2312"/>
        <w:lang w:eastAsia="zh-CN"/>
      </w:rPr>
      <w:t>定向债务融资工具（PPN）</w:t>
    </w:r>
    <w:r>
      <w:rPr>
        <w:rFonts w:hint="eastAsia" w:eastAsia="楷体_GB2312"/>
      </w:rPr>
      <w:t>主承销商评选方案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00026"/>
    <w:multiLevelType w:val="multilevel"/>
    <w:tmpl w:val="68A00026"/>
    <w:lvl w:ilvl="0" w:tentative="0">
      <w:start w:val="1"/>
      <w:numFmt w:val="japaneseCounting"/>
      <w:lvlText w:val="%1、"/>
      <w:lvlJc w:val="left"/>
      <w:pPr>
        <w:tabs>
          <w:tab w:val="left" w:pos="720"/>
        </w:tabs>
        <w:ind w:left="720" w:hanging="72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YWQwN2ZmYjRiMmNkMGVhMDI3NTAxODA3MzNjYjgifQ=="/>
  </w:docVars>
  <w:rsids>
    <w:rsidRoot w:val="008B0D19"/>
    <w:rsid w:val="000005D0"/>
    <w:rsid w:val="00002F54"/>
    <w:rsid w:val="00003645"/>
    <w:rsid w:val="00004837"/>
    <w:rsid w:val="00006B53"/>
    <w:rsid w:val="00006F4F"/>
    <w:rsid w:val="00007DAA"/>
    <w:rsid w:val="00007EE7"/>
    <w:rsid w:val="0001034B"/>
    <w:rsid w:val="00010AB2"/>
    <w:rsid w:val="0001138D"/>
    <w:rsid w:val="0001139B"/>
    <w:rsid w:val="000126A2"/>
    <w:rsid w:val="000137A3"/>
    <w:rsid w:val="00015EC8"/>
    <w:rsid w:val="00017012"/>
    <w:rsid w:val="00017F5A"/>
    <w:rsid w:val="00024530"/>
    <w:rsid w:val="000267D0"/>
    <w:rsid w:val="00030372"/>
    <w:rsid w:val="0003093D"/>
    <w:rsid w:val="00031101"/>
    <w:rsid w:val="00031123"/>
    <w:rsid w:val="000311C1"/>
    <w:rsid w:val="00033ECF"/>
    <w:rsid w:val="00033F66"/>
    <w:rsid w:val="000377B8"/>
    <w:rsid w:val="000400CC"/>
    <w:rsid w:val="0004397D"/>
    <w:rsid w:val="0004456B"/>
    <w:rsid w:val="00052DAE"/>
    <w:rsid w:val="0005673C"/>
    <w:rsid w:val="0005756C"/>
    <w:rsid w:val="00063134"/>
    <w:rsid w:val="000646A8"/>
    <w:rsid w:val="000656FB"/>
    <w:rsid w:val="000701FE"/>
    <w:rsid w:val="00070742"/>
    <w:rsid w:val="00073FA8"/>
    <w:rsid w:val="000742CE"/>
    <w:rsid w:val="00075547"/>
    <w:rsid w:val="00076032"/>
    <w:rsid w:val="00082122"/>
    <w:rsid w:val="000821BF"/>
    <w:rsid w:val="00082714"/>
    <w:rsid w:val="00083A85"/>
    <w:rsid w:val="000903C1"/>
    <w:rsid w:val="0009556B"/>
    <w:rsid w:val="00097BAF"/>
    <w:rsid w:val="000A3FF3"/>
    <w:rsid w:val="000A5703"/>
    <w:rsid w:val="000A58A3"/>
    <w:rsid w:val="000A6FBF"/>
    <w:rsid w:val="000B1119"/>
    <w:rsid w:val="000B126F"/>
    <w:rsid w:val="000B3039"/>
    <w:rsid w:val="000B470B"/>
    <w:rsid w:val="000B4D81"/>
    <w:rsid w:val="000C302A"/>
    <w:rsid w:val="000C5967"/>
    <w:rsid w:val="000D5F59"/>
    <w:rsid w:val="000E4BE2"/>
    <w:rsid w:val="000E5C5D"/>
    <w:rsid w:val="000E5F62"/>
    <w:rsid w:val="000F04DC"/>
    <w:rsid w:val="000F0F99"/>
    <w:rsid w:val="000F721F"/>
    <w:rsid w:val="00100377"/>
    <w:rsid w:val="00112392"/>
    <w:rsid w:val="00115CAC"/>
    <w:rsid w:val="0011648F"/>
    <w:rsid w:val="00122E82"/>
    <w:rsid w:val="001255B2"/>
    <w:rsid w:val="00126026"/>
    <w:rsid w:val="00136FB4"/>
    <w:rsid w:val="0013747A"/>
    <w:rsid w:val="00140FEA"/>
    <w:rsid w:val="00146387"/>
    <w:rsid w:val="00151F79"/>
    <w:rsid w:val="00152FE5"/>
    <w:rsid w:val="00153F30"/>
    <w:rsid w:val="00157E64"/>
    <w:rsid w:val="001603A8"/>
    <w:rsid w:val="00160485"/>
    <w:rsid w:val="00170163"/>
    <w:rsid w:val="00173F52"/>
    <w:rsid w:val="00175A3E"/>
    <w:rsid w:val="00175F2B"/>
    <w:rsid w:val="00177661"/>
    <w:rsid w:val="0018133A"/>
    <w:rsid w:val="00183460"/>
    <w:rsid w:val="001840C5"/>
    <w:rsid w:val="0018678B"/>
    <w:rsid w:val="001873B5"/>
    <w:rsid w:val="00194EA3"/>
    <w:rsid w:val="001968B9"/>
    <w:rsid w:val="001A0550"/>
    <w:rsid w:val="001A1AB1"/>
    <w:rsid w:val="001A2404"/>
    <w:rsid w:val="001A2EAA"/>
    <w:rsid w:val="001B17F3"/>
    <w:rsid w:val="001C124C"/>
    <w:rsid w:val="001C3BA8"/>
    <w:rsid w:val="001D18EB"/>
    <w:rsid w:val="001E18C3"/>
    <w:rsid w:val="001E5038"/>
    <w:rsid w:val="001E5592"/>
    <w:rsid w:val="001E6068"/>
    <w:rsid w:val="001F18F2"/>
    <w:rsid w:val="002008AB"/>
    <w:rsid w:val="002032FB"/>
    <w:rsid w:val="00203932"/>
    <w:rsid w:val="00210FC2"/>
    <w:rsid w:val="002159B2"/>
    <w:rsid w:val="00217E17"/>
    <w:rsid w:val="00221ECE"/>
    <w:rsid w:val="00222478"/>
    <w:rsid w:val="002240A1"/>
    <w:rsid w:val="00227A18"/>
    <w:rsid w:val="00231F94"/>
    <w:rsid w:val="002360E0"/>
    <w:rsid w:val="002463C3"/>
    <w:rsid w:val="00246568"/>
    <w:rsid w:val="00246EEB"/>
    <w:rsid w:val="00252B60"/>
    <w:rsid w:val="0025485D"/>
    <w:rsid w:val="00254BB1"/>
    <w:rsid w:val="00261DE1"/>
    <w:rsid w:val="00262C38"/>
    <w:rsid w:val="0026385E"/>
    <w:rsid w:val="002704CE"/>
    <w:rsid w:val="00270694"/>
    <w:rsid w:val="00275ACA"/>
    <w:rsid w:val="0027642F"/>
    <w:rsid w:val="00277212"/>
    <w:rsid w:val="00277468"/>
    <w:rsid w:val="00281CC9"/>
    <w:rsid w:val="002826BC"/>
    <w:rsid w:val="00282856"/>
    <w:rsid w:val="00284E26"/>
    <w:rsid w:val="0028606D"/>
    <w:rsid w:val="002921F5"/>
    <w:rsid w:val="002948F2"/>
    <w:rsid w:val="00294EB9"/>
    <w:rsid w:val="002A0188"/>
    <w:rsid w:val="002A07B2"/>
    <w:rsid w:val="002A73B7"/>
    <w:rsid w:val="002B2883"/>
    <w:rsid w:val="002C0C12"/>
    <w:rsid w:val="002C1D23"/>
    <w:rsid w:val="002C36C5"/>
    <w:rsid w:val="002C3915"/>
    <w:rsid w:val="002D0361"/>
    <w:rsid w:val="002D0368"/>
    <w:rsid w:val="002D0C97"/>
    <w:rsid w:val="002D2BBA"/>
    <w:rsid w:val="002D41FA"/>
    <w:rsid w:val="002D464B"/>
    <w:rsid w:val="002D4D34"/>
    <w:rsid w:val="002D594A"/>
    <w:rsid w:val="002E0144"/>
    <w:rsid w:val="002E4B40"/>
    <w:rsid w:val="002E7796"/>
    <w:rsid w:val="002E7F09"/>
    <w:rsid w:val="002F0285"/>
    <w:rsid w:val="002F5A3B"/>
    <w:rsid w:val="00302AF8"/>
    <w:rsid w:val="00302CB4"/>
    <w:rsid w:val="0030397B"/>
    <w:rsid w:val="00303FE2"/>
    <w:rsid w:val="00304612"/>
    <w:rsid w:val="00306071"/>
    <w:rsid w:val="0030617B"/>
    <w:rsid w:val="00313DDD"/>
    <w:rsid w:val="003145A0"/>
    <w:rsid w:val="00314748"/>
    <w:rsid w:val="00316E5C"/>
    <w:rsid w:val="003218D4"/>
    <w:rsid w:val="00323217"/>
    <w:rsid w:val="0032403F"/>
    <w:rsid w:val="0032623C"/>
    <w:rsid w:val="0033139E"/>
    <w:rsid w:val="003346BB"/>
    <w:rsid w:val="00335A47"/>
    <w:rsid w:val="00347A01"/>
    <w:rsid w:val="00355358"/>
    <w:rsid w:val="00356A6B"/>
    <w:rsid w:val="003606A6"/>
    <w:rsid w:val="00363A95"/>
    <w:rsid w:val="0036402A"/>
    <w:rsid w:val="0036450C"/>
    <w:rsid w:val="00370EB5"/>
    <w:rsid w:val="0037116F"/>
    <w:rsid w:val="00373AE4"/>
    <w:rsid w:val="00376320"/>
    <w:rsid w:val="003771EC"/>
    <w:rsid w:val="003901D1"/>
    <w:rsid w:val="00391281"/>
    <w:rsid w:val="00392E4F"/>
    <w:rsid w:val="00396189"/>
    <w:rsid w:val="003A3D67"/>
    <w:rsid w:val="003A4A25"/>
    <w:rsid w:val="003B189D"/>
    <w:rsid w:val="003B343C"/>
    <w:rsid w:val="003B6F56"/>
    <w:rsid w:val="003B73F0"/>
    <w:rsid w:val="003C3FDD"/>
    <w:rsid w:val="003D5907"/>
    <w:rsid w:val="003D7E71"/>
    <w:rsid w:val="003E43FB"/>
    <w:rsid w:val="003E4757"/>
    <w:rsid w:val="003E53AB"/>
    <w:rsid w:val="003F2114"/>
    <w:rsid w:val="003F3844"/>
    <w:rsid w:val="003F737C"/>
    <w:rsid w:val="0040689C"/>
    <w:rsid w:val="00412671"/>
    <w:rsid w:val="00416900"/>
    <w:rsid w:val="00421AF7"/>
    <w:rsid w:val="00427849"/>
    <w:rsid w:val="00431E65"/>
    <w:rsid w:val="0043306B"/>
    <w:rsid w:val="00433C4A"/>
    <w:rsid w:val="00434815"/>
    <w:rsid w:val="0043510E"/>
    <w:rsid w:val="004359BF"/>
    <w:rsid w:val="004367BE"/>
    <w:rsid w:val="00436F08"/>
    <w:rsid w:val="004371E2"/>
    <w:rsid w:val="00440FB8"/>
    <w:rsid w:val="004510CD"/>
    <w:rsid w:val="0045500F"/>
    <w:rsid w:val="0045503F"/>
    <w:rsid w:val="00455E62"/>
    <w:rsid w:val="00461780"/>
    <w:rsid w:val="004662B3"/>
    <w:rsid w:val="0046797B"/>
    <w:rsid w:val="00481AC4"/>
    <w:rsid w:val="00482AF5"/>
    <w:rsid w:val="0048505B"/>
    <w:rsid w:val="00486698"/>
    <w:rsid w:val="0049164D"/>
    <w:rsid w:val="004932E3"/>
    <w:rsid w:val="004952C4"/>
    <w:rsid w:val="004A4839"/>
    <w:rsid w:val="004B53F7"/>
    <w:rsid w:val="004B552E"/>
    <w:rsid w:val="004B5E57"/>
    <w:rsid w:val="004C200B"/>
    <w:rsid w:val="004C2B32"/>
    <w:rsid w:val="004C4AB5"/>
    <w:rsid w:val="004D3F3D"/>
    <w:rsid w:val="004D4ED5"/>
    <w:rsid w:val="004D6BB0"/>
    <w:rsid w:val="004D72FD"/>
    <w:rsid w:val="004E037E"/>
    <w:rsid w:val="004E21D2"/>
    <w:rsid w:val="004E4F08"/>
    <w:rsid w:val="004E6C5E"/>
    <w:rsid w:val="004E7843"/>
    <w:rsid w:val="004F0DEB"/>
    <w:rsid w:val="004F2881"/>
    <w:rsid w:val="00500146"/>
    <w:rsid w:val="00500DFF"/>
    <w:rsid w:val="00501394"/>
    <w:rsid w:val="00501E48"/>
    <w:rsid w:val="00503FAA"/>
    <w:rsid w:val="00506B16"/>
    <w:rsid w:val="00513A0E"/>
    <w:rsid w:val="00514D26"/>
    <w:rsid w:val="00520D4F"/>
    <w:rsid w:val="0053093E"/>
    <w:rsid w:val="005310D7"/>
    <w:rsid w:val="00544687"/>
    <w:rsid w:val="005478E3"/>
    <w:rsid w:val="005506A7"/>
    <w:rsid w:val="00553998"/>
    <w:rsid w:val="005548B9"/>
    <w:rsid w:val="00554D15"/>
    <w:rsid w:val="00563707"/>
    <w:rsid w:val="00563CCD"/>
    <w:rsid w:val="00565137"/>
    <w:rsid w:val="005703CA"/>
    <w:rsid w:val="005714E0"/>
    <w:rsid w:val="00573564"/>
    <w:rsid w:val="00576359"/>
    <w:rsid w:val="00576804"/>
    <w:rsid w:val="0058335A"/>
    <w:rsid w:val="005840E1"/>
    <w:rsid w:val="005858ED"/>
    <w:rsid w:val="00585964"/>
    <w:rsid w:val="00590C2C"/>
    <w:rsid w:val="00596639"/>
    <w:rsid w:val="005A0B74"/>
    <w:rsid w:val="005A1FDC"/>
    <w:rsid w:val="005A50CB"/>
    <w:rsid w:val="005A6355"/>
    <w:rsid w:val="005B1CCD"/>
    <w:rsid w:val="005B31AC"/>
    <w:rsid w:val="005B43A2"/>
    <w:rsid w:val="005C05AE"/>
    <w:rsid w:val="005C0CED"/>
    <w:rsid w:val="005C1548"/>
    <w:rsid w:val="005C2995"/>
    <w:rsid w:val="005D0FCC"/>
    <w:rsid w:val="005D23CA"/>
    <w:rsid w:val="005D48F3"/>
    <w:rsid w:val="005D56B1"/>
    <w:rsid w:val="005E18A7"/>
    <w:rsid w:val="005E1986"/>
    <w:rsid w:val="005E2495"/>
    <w:rsid w:val="005E6C9B"/>
    <w:rsid w:val="005F54B8"/>
    <w:rsid w:val="005F5F89"/>
    <w:rsid w:val="005F7E9A"/>
    <w:rsid w:val="00601984"/>
    <w:rsid w:val="006034A1"/>
    <w:rsid w:val="00604C98"/>
    <w:rsid w:val="00606D45"/>
    <w:rsid w:val="006070DA"/>
    <w:rsid w:val="006135FF"/>
    <w:rsid w:val="006166F5"/>
    <w:rsid w:val="00616EC7"/>
    <w:rsid w:val="00617E9D"/>
    <w:rsid w:val="0062002A"/>
    <w:rsid w:val="006223DA"/>
    <w:rsid w:val="00624CBF"/>
    <w:rsid w:val="006256BA"/>
    <w:rsid w:val="00625708"/>
    <w:rsid w:val="00635A6C"/>
    <w:rsid w:val="00635ADB"/>
    <w:rsid w:val="00635E8E"/>
    <w:rsid w:val="00636388"/>
    <w:rsid w:val="006412A4"/>
    <w:rsid w:val="00641524"/>
    <w:rsid w:val="00642A0E"/>
    <w:rsid w:val="00644AD7"/>
    <w:rsid w:val="00645800"/>
    <w:rsid w:val="0064658B"/>
    <w:rsid w:val="00646D79"/>
    <w:rsid w:val="00647311"/>
    <w:rsid w:val="006507AA"/>
    <w:rsid w:val="0065565F"/>
    <w:rsid w:val="006572D4"/>
    <w:rsid w:val="006607C0"/>
    <w:rsid w:val="00661430"/>
    <w:rsid w:val="00661BAF"/>
    <w:rsid w:val="0066220A"/>
    <w:rsid w:val="00664DBE"/>
    <w:rsid w:val="00670525"/>
    <w:rsid w:val="006767E4"/>
    <w:rsid w:val="0068059A"/>
    <w:rsid w:val="00680CD0"/>
    <w:rsid w:val="00681CA4"/>
    <w:rsid w:val="00683FE1"/>
    <w:rsid w:val="0069683B"/>
    <w:rsid w:val="00696C47"/>
    <w:rsid w:val="006A0A1D"/>
    <w:rsid w:val="006A250F"/>
    <w:rsid w:val="006A592C"/>
    <w:rsid w:val="006B26DF"/>
    <w:rsid w:val="006B2881"/>
    <w:rsid w:val="006B3F6B"/>
    <w:rsid w:val="006B423F"/>
    <w:rsid w:val="006B7463"/>
    <w:rsid w:val="006C04DF"/>
    <w:rsid w:val="006E15C1"/>
    <w:rsid w:val="006E2A90"/>
    <w:rsid w:val="006E57E3"/>
    <w:rsid w:val="006F2FB4"/>
    <w:rsid w:val="006F30AD"/>
    <w:rsid w:val="006F40EC"/>
    <w:rsid w:val="006F59C9"/>
    <w:rsid w:val="00713D75"/>
    <w:rsid w:val="0071430D"/>
    <w:rsid w:val="007164E8"/>
    <w:rsid w:val="00716615"/>
    <w:rsid w:val="00717F3D"/>
    <w:rsid w:val="00720C44"/>
    <w:rsid w:val="00722A26"/>
    <w:rsid w:val="00726B37"/>
    <w:rsid w:val="00737F8B"/>
    <w:rsid w:val="00740A9E"/>
    <w:rsid w:val="00741400"/>
    <w:rsid w:val="00743893"/>
    <w:rsid w:val="00745420"/>
    <w:rsid w:val="00750B9A"/>
    <w:rsid w:val="00750DC8"/>
    <w:rsid w:val="00762010"/>
    <w:rsid w:val="00762914"/>
    <w:rsid w:val="007647EA"/>
    <w:rsid w:val="00767870"/>
    <w:rsid w:val="00767D8F"/>
    <w:rsid w:val="007725FF"/>
    <w:rsid w:val="007727B9"/>
    <w:rsid w:val="007739D1"/>
    <w:rsid w:val="00773B50"/>
    <w:rsid w:val="0077405D"/>
    <w:rsid w:val="0078006A"/>
    <w:rsid w:val="00794FFB"/>
    <w:rsid w:val="00796305"/>
    <w:rsid w:val="00796F62"/>
    <w:rsid w:val="007A1FFA"/>
    <w:rsid w:val="007A5CE1"/>
    <w:rsid w:val="007A65AE"/>
    <w:rsid w:val="007B1407"/>
    <w:rsid w:val="007B1733"/>
    <w:rsid w:val="007B3594"/>
    <w:rsid w:val="007B5867"/>
    <w:rsid w:val="007B6681"/>
    <w:rsid w:val="007C45E9"/>
    <w:rsid w:val="007C5878"/>
    <w:rsid w:val="007C5B1F"/>
    <w:rsid w:val="007C5C0C"/>
    <w:rsid w:val="007D160F"/>
    <w:rsid w:val="007D31DA"/>
    <w:rsid w:val="007D3271"/>
    <w:rsid w:val="007D357F"/>
    <w:rsid w:val="007E233B"/>
    <w:rsid w:val="007E398C"/>
    <w:rsid w:val="007E4D59"/>
    <w:rsid w:val="007E6B96"/>
    <w:rsid w:val="00804301"/>
    <w:rsid w:val="00805F73"/>
    <w:rsid w:val="0080687F"/>
    <w:rsid w:val="00807A4D"/>
    <w:rsid w:val="008104ED"/>
    <w:rsid w:val="0081159A"/>
    <w:rsid w:val="008121CD"/>
    <w:rsid w:val="00812CD3"/>
    <w:rsid w:val="00826CA1"/>
    <w:rsid w:val="00827F01"/>
    <w:rsid w:val="00830C33"/>
    <w:rsid w:val="0083162C"/>
    <w:rsid w:val="00832754"/>
    <w:rsid w:val="00836C2E"/>
    <w:rsid w:val="008410EA"/>
    <w:rsid w:val="00844EE7"/>
    <w:rsid w:val="008521FD"/>
    <w:rsid w:val="00857FBC"/>
    <w:rsid w:val="008623BF"/>
    <w:rsid w:val="00884BA9"/>
    <w:rsid w:val="008863A7"/>
    <w:rsid w:val="008866DD"/>
    <w:rsid w:val="0088739D"/>
    <w:rsid w:val="008927E7"/>
    <w:rsid w:val="00893143"/>
    <w:rsid w:val="00894C8C"/>
    <w:rsid w:val="00894D98"/>
    <w:rsid w:val="00896439"/>
    <w:rsid w:val="00897076"/>
    <w:rsid w:val="008A054C"/>
    <w:rsid w:val="008A174E"/>
    <w:rsid w:val="008A210B"/>
    <w:rsid w:val="008A26A9"/>
    <w:rsid w:val="008A3914"/>
    <w:rsid w:val="008A4DE3"/>
    <w:rsid w:val="008B0D19"/>
    <w:rsid w:val="008B14C6"/>
    <w:rsid w:val="008B2650"/>
    <w:rsid w:val="008B4C87"/>
    <w:rsid w:val="008C5C78"/>
    <w:rsid w:val="008C74F7"/>
    <w:rsid w:val="008D01BC"/>
    <w:rsid w:val="008D3BE2"/>
    <w:rsid w:val="008E15B2"/>
    <w:rsid w:val="008E5E82"/>
    <w:rsid w:val="008E6508"/>
    <w:rsid w:val="008F0E7F"/>
    <w:rsid w:val="008F1D62"/>
    <w:rsid w:val="008F454C"/>
    <w:rsid w:val="008F5436"/>
    <w:rsid w:val="008F6E04"/>
    <w:rsid w:val="0090126F"/>
    <w:rsid w:val="0091078B"/>
    <w:rsid w:val="00913B6A"/>
    <w:rsid w:val="00913B6D"/>
    <w:rsid w:val="00923F78"/>
    <w:rsid w:val="00924271"/>
    <w:rsid w:val="00925EDD"/>
    <w:rsid w:val="009300DD"/>
    <w:rsid w:val="00930271"/>
    <w:rsid w:val="009305BB"/>
    <w:rsid w:val="009334A9"/>
    <w:rsid w:val="00934149"/>
    <w:rsid w:val="009345F6"/>
    <w:rsid w:val="0093761A"/>
    <w:rsid w:val="00937F66"/>
    <w:rsid w:val="00940548"/>
    <w:rsid w:val="0094075A"/>
    <w:rsid w:val="00940BA0"/>
    <w:rsid w:val="009445C8"/>
    <w:rsid w:val="009456F8"/>
    <w:rsid w:val="0095170D"/>
    <w:rsid w:val="00951C00"/>
    <w:rsid w:val="00952169"/>
    <w:rsid w:val="009525FD"/>
    <w:rsid w:val="00955074"/>
    <w:rsid w:val="00956396"/>
    <w:rsid w:val="00956C55"/>
    <w:rsid w:val="00962065"/>
    <w:rsid w:val="00962958"/>
    <w:rsid w:val="00970628"/>
    <w:rsid w:val="0097182A"/>
    <w:rsid w:val="00977ECA"/>
    <w:rsid w:val="00980891"/>
    <w:rsid w:val="00983D30"/>
    <w:rsid w:val="009867A9"/>
    <w:rsid w:val="00991BF0"/>
    <w:rsid w:val="00992991"/>
    <w:rsid w:val="00993C8E"/>
    <w:rsid w:val="009A0DFF"/>
    <w:rsid w:val="009A3DBC"/>
    <w:rsid w:val="009A7D44"/>
    <w:rsid w:val="009B3AD2"/>
    <w:rsid w:val="009C04BE"/>
    <w:rsid w:val="009C1899"/>
    <w:rsid w:val="009C2B85"/>
    <w:rsid w:val="009C43C6"/>
    <w:rsid w:val="009C564A"/>
    <w:rsid w:val="009C77AD"/>
    <w:rsid w:val="009D05CF"/>
    <w:rsid w:val="009D0BFE"/>
    <w:rsid w:val="009D1122"/>
    <w:rsid w:val="009D62F7"/>
    <w:rsid w:val="009D65C0"/>
    <w:rsid w:val="009D6E0D"/>
    <w:rsid w:val="009E0EF9"/>
    <w:rsid w:val="009E2664"/>
    <w:rsid w:val="009E42A6"/>
    <w:rsid w:val="009E5D6B"/>
    <w:rsid w:val="009F1713"/>
    <w:rsid w:val="009F32CF"/>
    <w:rsid w:val="009F5F53"/>
    <w:rsid w:val="00A012B7"/>
    <w:rsid w:val="00A017DE"/>
    <w:rsid w:val="00A01FFF"/>
    <w:rsid w:val="00A026B8"/>
    <w:rsid w:val="00A04923"/>
    <w:rsid w:val="00A0562C"/>
    <w:rsid w:val="00A06096"/>
    <w:rsid w:val="00A0792F"/>
    <w:rsid w:val="00A130D7"/>
    <w:rsid w:val="00A222C3"/>
    <w:rsid w:val="00A22644"/>
    <w:rsid w:val="00A23DB6"/>
    <w:rsid w:val="00A25D8F"/>
    <w:rsid w:val="00A272D1"/>
    <w:rsid w:val="00A2792B"/>
    <w:rsid w:val="00A42F26"/>
    <w:rsid w:val="00A43572"/>
    <w:rsid w:val="00A51833"/>
    <w:rsid w:val="00A51B25"/>
    <w:rsid w:val="00A52ECB"/>
    <w:rsid w:val="00A54F14"/>
    <w:rsid w:val="00A56C8E"/>
    <w:rsid w:val="00A62A0D"/>
    <w:rsid w:val="00A6513A"/>
    <w:rsid w:val="00A72F87"/>
    <w:rsid w:val="00A763D7"/>
    <w:rsid w:val="00A77FEA"/>
    <w:rsid w:val="00A8005A"/>
    <w:rsid w:val="00A8192C"/>
    <w:rsid w:val="00A82103"/>
    <w:rsid w:val="00A85761"/>
    <w:rsid w:val="00A87324"/>
    <w:rsid w:val="00A968D3"/>
    <w:rsid w:val="00A96A85"/>
    <w:rsid w:val="00AA29BB"/>
    <w:rsid w:val="00AB1362"/>
    <w:rsid w:val="00AB62DF"/>
    <w:rsid w:val="00AB666B"/>
    <w:rsid w:val="00AB7307"/>
    <w:rsid w:val="00AC1979"/>
    <w:rsid w:val="00AC2B37"/>
    <w:rsid w:val="00AD0BD7"/>
    <w:rsid w:val="00AD1B24"/>
    <w:rsid w:val="00AD313D"/>
    <w:rsid w:val="00AD36D3"/>
    <w:rsid w:val="00AD4AD0"/>
    <w:rsid w:val="00AD5128"/>
    <w:rsid w:val="00AD6673"/>
    <w:rsid w:val="00AE2DF8"/>
    <w:rsid w:val="00AE3BCA"/>
    <w:rsid w:val="00AE3D89"/>
    <w:rsid w:val="00AF04E5"/>
    <w:rsid w:val="00AF2C2C"/>
    <w:rsid w:val="00AF569C"/>
    <w:rsid w:val="00AF7847"/>
    <w:rsid w:val="00AF79C0"/>
    <w:rsid w:val="00B03DC3"/>
    <w:rsid w:val="00B04369"/>
    <w:rsid w:val="00B054DF"/>
    <w:rsid w:val="00B06FD0"/>
    <w:rsid w:val="00B131A3"/>
    <w:rsid w:val="00B16772"/>
    <w:rsid w:val="00B25A72"/>
    <w:rsid w:val="00B26137"/>
    <w:rsid w:val="00B31FFD"/>
    <w:rsid w:val="00B32F37"/>
    <w:rsid w:val="00B3547E"/>
    <w:rsid w:val="00B35F6A"/>
    <w:rsid w:val="00B36397"/>
    <w:rsid w:val="00B36984"/>
    <w:rsid w:val="00B402B7"/>
    <w:rsid w:val="00B40820"/>
    <w:rsid w:val="00B41B45"/>
    <w:rsid w:val="00B44BE1"/>
    <w:rsid w:val="00B44D33"/>
    <w:rsid w:val="00B46468"/>
    <w:rsid w:val="00B46DB4"/>
    <w:rsid w:val="00B47861"/>
    <w:rsid w:val="00B52DAD"/>
    <w:rsid w:val="00B54187"/>
    <w:rsid w:val="00B541F1"/>
    <w:rsid w:val="00B6099B"/>
    <w:rsid w:val="00B676B7"/>
    <w:rsid w:val="00B75254"/>
    <w:rsid w:val="00B82637"/>
    <w:rsid w:val="00B83318"/>
    <w:rsid w:val="00B834B3"/>
    <w:rsid w:val="00B851DB"/>
    <w:rsid w:val="00B859A2"/>
    <w:rsid w:val="00B87DBA"/>
    <w:rsid w:val="00B90571"/>
    <w:rsid w:val="00BA047E"/>
    <w:rsid w:val="00BA0D7E"/>
    <w:rsid w:val="00BA3A26"/>
    <w:rsid w:val="00BA4697"/>
    <w:rsid w:val="00BA5E58"/>
    <w:rsid w:val="00BA607D"/>
    <w:rsid w:val="00BA7F91"/>
    <w:rsid w:val="00BB245E"/>
    <w:rsid w:val="00BB285B"/>
    <w:rsid w:val="00BB297A"/>
    <w:rsid w:val="00BC0DA8"/>
    <w:rsid w:val="00BC21D8"/>
    <w:rsid w:val="00BC452D"/>
    <w:rsid w:val="00BD06FC"/>
    <w:rsid w:val="00BD479A"/>
    <w:rsid w:val="00BE15CD"/>
    <w:rsid w:val="00BE2716"/>
    <w:rsid w:val="00BE50F4"/>
    <w:rsid w:val="00BE5429"/>
    <w:rsid w:val="00BE5B22"/>
    <w:rsid w:val="00BE69DC"/>
    <w:rsid w:val="00BE6A10"/>
    <w:rsid w:val="00BE6EEF"/>
    <w:rsid w:val="00BE7E52"/>
    <w:rsid w:val="00BF0684"/>
    <w:rsid w:val="00BF76D6"/>
    <w:rsid w:val="00C00847"/>
    <w:rsid w:val="00C034BF"/>
    <w:rsid w:val="00C05DED"/>
    <w:rsid w:val="00C07E2A"/>
    <w:rsid w:val="00C103E3"/>
    <w:rsid w:val="00C139F5"/>
    <w:rsid w:val="00C16F73"/>
    <w:rsid w:val="00C226FC"/>
    <w:rsid w:val="00C25068"/>
    <w:rsid w:val="00C25401"/>
    <w:rsid w:val="00C25B3D"/>
    <w:rsid w:val="00C2641F"/>
    <w:rsid w:val="00C27D50"/>
    <w:rsid w:val="00C401AF"/>
    <w:rsid w:val="00C40293"/>
    <w:rsid w:val="00C46B4B"/>
    <w:rsid w:val="00C53A01"/>
    <w:rsid w:val="00C544F0"/>
    <w:rsid w:val="00C55909"/>
    <w:rsid w:val="00C56F74"/>
    <w:rsid w:val="00C57163"/>
    <w:rsid w:val="00C61831"/>
    <w:rsid w:val="00C6185D"/>
    <w:rsid w:val="00C63F92"/>
    <w:rsid w:val="00C64072"/>
    <w:rsid w:val="00C648FE"/>
    <w:rsid w:val="00C67406"/>
    <w:rsid w:val="00C77AD4"/>
    <w:rsid w:val="00C77E23"/>
    <w:rsid w:val="00C82604"/>
    <w:rsid w:val="00C85A49"/>
    <w:rsid w:val="00C85FD5"/>
    <w:rsid w:val="00C9087F"/>
    <w:rsid w:val="00C93FFC"/>
    <w:rsid w:val="00CA0267"/>
    <w:rsid w:val="00CA58A4"/>
    <w:rsid w:val="00CA5CA5"/>
    <w:rsid w:val="00CB48B8"/>
    <w:rsid w:val="00CC0D3B"/>
    <w:rsid w:val="00CC0FC6"/>
    <w:rsid w:val="00CC415A"/>
    <w:rsid w:val="00CC66C0"/>
    <w:rsid w:val="00CC6F74"/>
    <w:rsid w:val="00CD0111"/>
    <w:rsid w:val="00CD0D74"/>
    <w:rsid w:val="00CD4645"/>
    <w:rsid w:val="00CE27BB"/>
    <w:rsid w:val="00CF07CB"/>
    <w:rsid w:val="00CF2B15"/>
    <w:rsid w:val="00D02705"/>
    <w:rsid w:val="00D032D9"/>
    <w:rsid w:val="00D13886"/>
    <w:rsid w:val="00D15080"/>
    <w:rsid w:val="00D15D05"/>
    <w:rsid w:val="00D222AD"/>
    <w:rsid w:val="00D25840"/>
    <w:rsid w:val="00D26DEE"/>
    <w:rsid w:val="00D27D39"/>
    <w:rsid w:val="00D307C7"/>
    <w:rsid w:val="00D35B01"/>
    <w:rsid w:val="00D376E2"/>
    <w:rsid w:val="00D4001C"/>
    <w:rsid w:val="00D40958"/>
    <w:rsid w:val="00D4215E"/>
    <w:rsid w:val="00D424CA"/>
    <w:rsid w:val="00D425C7"/>
    <w:rsid w:val="00D44E38"/>
    <w:rsid w:val="00D60CA1"/>
    <w:rsid w:val="00D61317"/>
    <w:rsid w:val="00D640F6"/>
    <w:rsid w:val="00D65A3B"/>
    <w:rsid w:val="00D668CB"/>
    <w:rsid w:val="00D75095"/>
    <w:rsid w:val="00D80FC9"/>
    <w:rsid w:val="00D840C1"/>
    <w:rsid w:val="00D95C37"/>
    <w:rsid w:val="00DA00CA"/>
    <w:rsid w:val="00DA025E"/>
    <w:rsid w:val="00DA269B"/>
    <w:rsid w:val="00DA292D"/>
    <w:rsid w:val="00DA3275"/>
    <w:rsid w:val="00DA7410"/>
    <w:rsid w:val="00DA757C"/>
    <w:rsid w:val="00DB07FC"/>
    <w:rsid w:val="00DB1D8B"/>
    <w:rsid w:val="00DB2AE0"/>
    <w:rsid w:val="00DC0686"/>
    <w:rsid w:val="00DC2987"/>
    <w:rsid w:val="00DC310C"/>
    <w:rsid w:val="00DC3908"/>
    <w:rsid w:val="00DC48A2"/>
    <w:rsid w:val="00DD1B82"/>
    <w:rsid w:val="00DD29A0"/>
    <w:rsid w:val="00DD4829"/>
    <w:rsid w:val="00DD7622"/>
    <w:rsid w:val="00DE0BAA"/>
    <w:rsid w:val="00DE2D50"/>
    <w:rsid w:val="00DE45FE"/>
    <w:rsid w:val="00DE7EE4"/>
    <w:rsid w:val="00DF5DAB"/>
    <w:rsid w:val="00E016B0"/>
    <w:rsid w:val="00E03842"/>
    <w:rsid w:val="00E076B0"/>
    <w:rsid w:val="00E128CE"/>
    <w:rsid w:val="00E14859"/>
    <w:rsid w:val="00E16356"/>
    <w:rsid w:val="00E1652E"/>
    <w:rsid w:val="00E16BDC"/>
    <w:rsid w:val="00E2164B"/>
    <w:rsid w:val="00E235A8"/>
    <w:rsid w:val="00E241A4"/>
    <w:rsid w:val="00E24D03"/>
    <w:rsid w:val="00E3018B"/>
    <w:rsid w:val="00E321FC"/>
    <w:rsid w:val="00E333C8"/>
    <w:rsid w:val="00E378DE"/>
    <w:rsid w:val="00E51415"/>
    <w:rsid w:val="00E5258C"/>
    <w:rsid w:val="00E53156"/>
    <w:rsid w:val="00E53194"/>
    <w:rsid w:val="00E55710"/>
    <w:rsid w:val="00E61AB2"/>
    <w:rsid w:val="00E62DC3"/>
    <w:rsid w:val="00E6512D"/>
    <w:rsid w:val="00E732B9"/>
    <w:rsid w:val="00E817AC"/>
    <w:rsid w:val="00E853B1"/>
    <w:rsid w:val="00E91057"/>
    <w:rsid w:val="00E92E95"/>
    <w:rsid w:val="00E93550"/>
    <w:rsid w:val="00E9514E"/>
    <w:rsid w:val="00E9515A"/>
    <w:rsid w:val="00E9545F"/>
    <w:rsid w:val="00E95866"/>
    <w:rsid w:val="00E97426"/>
    <w:rsid w:val="00EA167F"/>
    <w:rsid w:val="00EB37A6"/>
    <w:rsid w:val="00EB521A"/>
    <w:rsid w:val="00EC0F73"/>
    <w:rsid w:val="00EC4185"/>
    <w:rsid w:val="00EC4EF9"/>
    <w:rsid w:val="00ED0574"/>
    <w:rsid w:val="00ED1EBE"/>
    <w:rsid w:val="00ED2D1B"/>
    <w:rsid w:val="00ED6FF4"/>
    <w:rsid w:val="00ED784C"/>
    <w:rsid w:val="00EE047C"/>
    <w:rsid w:val="00EE0FE9"/>
    <w:rsid w:val="00EE3EA8"/>
    <w:rsid w:val="00EE5BE6"/>
    <w:rsid w:val="00F0092E"/>
    <w:rsid w:val="00F0770E"/>
    <w:rsid w:val="00F121D2"/>
    <w:rsid w:val="00F154D4"/>
    <w:rsid w:val="00F16D24"/>
    <w:rsid w:val="00F2316B"/>
    <w:rsid w:val="00F24CC3"/>
    <w:rsid w:val="00F33625"/>
    <w:rsid w:val="00F3704A"/>
    <w:rsid w:val="00F37FEC"/>
    <w:rsid w:val="00F44810"/>
    <w:rsid w:val="00F46FCE"/>
    <w:rsid w:val="00F47B4B"/>
    <w:rsid w:val="00F51797"/>
    <w:rsid w:val="00F5273A"/>
    <w:rsid w:val="00F6279F"/>
    <w:rsid w:val="00F6300D"/>
    <w:rsid w:val="00F63F79"/>
    <w:rsid w:val="00F642B9"/>
    <w:rsid w:val="00F64588"/>
    <w:rsid w:val="00F6511E"/>
    <w:rsid w:val="00F6693E"/>
    <w:rsid w:val="00F678AC"/>
    <w:rsid w:val="00F70309"/>
    <w:rsid w:val="00F71934"/>
    <w:rsid w:val="00F733A7"/>
    <w:rsid w:val="00F752F6"/>
    <w:rsid w:val="00F7741A"/>
    <w:rsid w:val="00F81EB9"/>
    <w:rsid w:val="00F87CB0"/>
    <w:rsid w:val="00F9232C"/>
    <w:rsid w:val="00F93496"/>
    <w:rsid w:val="00F93608"/>
    <w:rsid w:val="00F944C9"/>
    <w:rsid w:val="00F95321"/>
    <w:rsid w:val="00F9634B"/>
    <w:rsid w:val="00F971CC"/>
    <w:rsid w:val="00F978FA"/>
    <w:rsid w:val="00FA1343"/>
    <w:rsid w:val="00FA5E40"/>
    <w:rsid w:val="00FC02FB"/>
    <w:rsid w:val="00FC2CD1"/>
    <w:rsid w:val="00FC3860"/>
    <w:rsid w:val="00FC48BE"/>
    <w:rsid w:val="00FC4DCC"/>
    <w:rsid w:val="00FC55CD"/>
    <w:rsid w:val="00FC5778"/>
    <w:rsid w:val="00FC7064"/>
    <w:rsid w:val="00FC79A1"/>
    <w:rsid w:val="00FD350E"/>
    <w:rsid w:val="00FD4343"/>
    <w:rsid w:val="00FD7590"/>
    <w:rsid w:val="00FD772F"/>
    <w:rsid w:val="00FD7BE2"/>
    <w:rsid w:val="00FE1551"/>
    <w:rsid w:val="00FE2472"/>
    <w:rsid w:val="00FE4618"/>
    <w:rsid w:val="00FF24B9"/>
    <w:rsid w:val="00FF2A0A"/>
    <w:rsid w:val="00FF2D2A"/>
    <w:rsid w:val="00FF4495"/>
    <w:rsid w:val="00FF7E51"/>
    <w:rsid w:val="011E50B1"/>
    <w:rsid w:val="016E2698"/>
    <w:rsid w:val="02EA07F0"/>
    <w:rsid w:val="03081FC6"/>
    <w:rsid w:val="036208AE"/>
    <w:rsid w:val="03C5017E"/>
    <w:rsid w:val="04462E9E"/>
    <w:rsid w:val="04575AAE"/>
    <w:rsid w:val="04714B20"/>
    <w:rsid w:val="04DB6268"/>
    <w:rsid w:val="050C0A55"/>
    <w:rsid w:val="05345EEE"/>
    <w:rsid w:val="06090E6E"/>
    <w:rsid w:val="062A3D5E"/>
    <w:rsid w:val="0654001D"/>
    <w:rsid w:val="06545FF1"/>
    <w:rsid w:val="065F5E83"/>
    <w:rsid w:val="06636F0D"/>
    <w:rsid w:val="06787253"/>
    <w:rsid w:val="070D693C"/>
    <w:rsid w:val="070E4C80"/>
    <w:rsid w:val="079523B3"/>
    <w:rsid w:val="079B7E09"/>
    <w:rsid w:val="07E14DC4"/>
    <w:rsid w:val="07FD6BA9"/>
    <w:rsid w:val="08C75C50"/>
    <w:rsid w:val="09D92C37"/>
    <w:rsid w:val="09EF451D"/>
    <w:rsid w:val="0A64315D"/>
    <w:rsid w:val="0A8243A6"/>
    <w:rsid w:val="0BCE1DED"/>
    <w:rsid w:val="0C8E0BA6"/>
    <w:rsid w:val="0CA444F4"/>
    <w:rsid w:val="0D1B1A8F"/>
    <w:rsid w:val="0D6A2292"/>
    <w:rsid w:val="0DB06621"/>
    <w:rsid w:val="0E152CCA"/>
    <w:rsid w:val="0E225EFC"/>
    <w:rsid w:val="0E3F114B"/>
    <w:rsid w:val="0EC17D04"/>
    <w:rsid w:val="106C4DE3"/>
    <w:rsid w:val="11015B72"/>
    <w:rsid w:val="11B8789F"/>
    <w:rsid w:val="121C7EE7"/>
    <w:rsid w:val="13472AAF"/>
    <w:rsid w:val="138F2928"/>
    <w:rsid w:val="139748B1"/>
    <w:rsid w:val="1397782D"/>
    <w:rsid w:val="13B5414D"/>
    <w:rsid w:val="14453F91"/>
    <w:rsid w:val="14A415CF"/>
    <w:rsid w:val="14E172AE"/>
    <w:rsid w:val="151F1BCE"/>
    <w:rsid w:val="156A7101"/>
    <w:rsid w:val="159863E4"/>
    <w:rsid w:val="161D6647"/>
    <w:rsid w:val="16AF7DB3"/>
    <w:rsid w:val="16CB4931"/>
    <w:rsid w:val="16DE1BA1"/>
    <w:rsid w:val="17671540"/>
    <w:rsid w:val="183941DA"/>
    <w:rsid w:val="18EE1192"/>
    <w:rsid w:val="19625331"/>
    <w:rsid w:val="19A838A8"/>
    <w:rsid w:val="19CA6C25"/>
    <w:rsid w:val="1AAB43CF"/>
    <w:rsid w:val="1AAF2DD5"/>
    <w:rsid w:val="1ABB39B4"/>
    <w:rsid w:val="1ABD7720"/>
    <w:rsid w:val="1AD27EF4"/>
    <w:rsid w:val="1B2A271F"/>
    <w:rsid w:val="1CE20D68"/>
    <w:rsid w:val="1D492719"/>
    <w:rsid w:val="1DEA36DD"/>
    <w:rsid w:val="1E197963"/>
    <w:rsid w:val="1E2B6C18"/>
    <w:rsid w:val="1E3C5F2F"/>
    <w:rsid w:val="1F5B4F5F"/>
    <w:rsid w:val="1F99675F"/>
    <w:rsid w:val="1F9D2AFC"/>
    <w:rsid w:val="1FBF3122"/>
    <w:rsid w:val="20E25E6D"/>
    <w:rsid w:val="20EE7369"/>
    <w:rsid w:val="212E3725"/>
    <w:rsid w:val="216A64D8"/>
    <w:rsid w:val="217112F3"/>
    <w:rsid w:val="21B87493"/>
    <w:rsid w:val="21E6293F"/>
    <w:rsid w:val="21FD22F3"/>
    <w:rsid w:val="22135166"/>
    <w:rsid w:val="22271BB8"/>
    <w:rsid w:val="223F7CBE"/>
    <w:rsid w:val="225F2086"/>
    <w:rsid w:val="232F75C6"/>
    <w:rsid w:val="234B55BB"/>
    <w:rsid w:val="241F6136"/>
    <w:rsid w:val="24363E8F"/>
    <w:rsid w:val="24CF1271"/>
    <w:rsid w:val="2537799C"/>
    <w:rsid w:val="25A6430D"/>
    <w:rsid w:val="25F43B70"/>
    <w:rsid w:val="260809E9"/>
    <w:rsid w:val="26291C9D"/>
    <w:rsid w:val="268C1914"/>
    <w:rsid w:val="268E7F4D"/>
    <w:rsid w:val="26BD3247"/>
    <w:rsid w:val="279C0863"/>
    <w:rsid w:val="27C47FCA"/>
    <w:rsid w:val="28376B78"/>
    <w:rsid w:val="2881745F"/>
    <w:rsid w:val="28844573"/>
    <w:rsid w:val="290441D9"/>
    <w:rsid w:val="29247327"/>
    <w:rsid w:val="293D7CF4"/>
    <w:rsid w:val="29807038"/>
    <w:rsid w:val="29A44029"/>
    <w:rsid w:val="29AF6870"/>
    <w:rsid w:val="29CD4E34"/>
    <w:rsid w:val="2ABC4498"/>
    <w:rsid w:val="2B04391F"/>
    <w:rsid w:val="2B5D2AD5"/>
    <w:rsid w:val="2B73352E"/>
    <w:rsid w:val="2B9C5BDA"/>
    <w:rsid w:val="2BD423E0"/>
    <w:rsid w:val="2C805401"/>
    <w:rsid w:val="2D0E2A7A"/>
    <w:rsid w:val="2D3E6D21"/>
    <w:rsid w:val="2DCA2A28"/>
    <w:rsid w:val="2E6725C3"/>
    <w:rsid w:val="2EA73A95"/>
    <w:rsid w:val="2F1C03C3"/>
    <w:rsid w:val="2F206F79"/>
    <w:rsid w:val="2FC8595B"/>
    <w:rsid w:val="2FC962B9"/>
    <w:rsid w:val="308D1737"/>
    <w:rsid w:val="30BD1B55"/>
    <w:rsid w:val="310F641D"/>
    <w:rsid w:val="320E0EFC"/>
    <w:rsid w:val="32B63340"/>
    <w:rsid w:val="33265B78"/>
    <w:rsid w:val="333931FF"/>
    <w:rsid w:val="33E62473"/>
    <w:rsid w:val="33EB6BBB"/>
    <w:rsid w:val="34F812F7"/>
    <w:rsid w:val="35633022"/>
    <w:rsid w:val="35652159"/>
    <w:rsid w:val="35922617"/>
    <w:rsid w:val="35AC65CA"/>
    <w:rsid w:val="35E921EF"/>
    <w:rsid w:val="35F32EAD"/>
    <w:rsid w:val="36103A10"/>
    <w:rsid w:val="36446C68"/>
    <w:rsid w:val="37154833"/>
    <w:rsid w:val="37265032"/>
    <w:rsid w:val="37746C43"/>
    <w:rsid w:val="37ED25CE"/>
    <w:rsid w:val="386D1C23"/>
    <w:rsid w:val="387E5850"/>
    <w:rsid w:val="38C82037"/>
    <w:rsid w:val="38C960D4"/>
    <w:rsid w:val="38CD229E"/>
    <w:rsid w:val="38F621AF"/>
    <w:rsid w:val="38F63BBC"/>
    <w:rsid w:val="39174730"/>
    <w:rsid w:val="39F039AB"/>
    <w:rsid w:val="3A620DD9"/>
    <w:rsid w:val="3B705857"/>
    <w:rsid w:val="3BE6100E"/>
    <w:rsid w:val="3C292943"/>
    <w:rsid w:val="3C5A09ED"/>
    <w:rsid w:val="3CD03D31"/>
    <w:rsid w:val="3D0153E5"/>
    <w:rsid w:val="3D4B4AE0"/>
    <w:rsid w:val="3EC91256"/>
    <w:rsid w:val="415946E5"/>
    <w:rsid w:val="419C0805"/>
    <w:rsid w:val="430202BD"/>
    <w:rsid w:val="433462CE"/>
    <w:rsid w:val="43B12F6B"/>
    <w:rsid w:val="44686782"/>
    <w:rsid w:val="45310312"/>
    <w:rsid w:val="45482A99"/>
    <w:rsid w:val="45A837D4"/>
    <w:rsid w:val="45C76F40"/>
    <w:rsid w:val="45CE4F94"/>
    <w:rsid w:val="45DF3557"/>
    <w:rsid w:val="465D6F2F"/>
    <w:rsid w:val="46810F38"/>
    <w:rsid w:val="46BB56A0"/>
    <w:rsid w:val="46F5208B"/>
    <w:rsid w:val="47062560"/>
    <w:rsid w:val="47134FE8"/>
    <w:rsid w:val="47354282"/>
    <w:rsid w:val="4790253B"/>
    <w:rsid w:val="47A63B38"/>
    <w:rsid w:val="48001A6B"/>
    <w:rsid w:val="482B36C8"/>
    <w:rsid w:val="493A1DBF"/>
    <w:rsid w:val="498E0FE2"/>
    <w:rsid w:val="49AB36CB"/>
    <w:rsid w:val="4A104D0E"/>
    <w:rsid w:val="4A2574C6"/>
    <w:rsid w:val="4AC34A7F"/>
    <w:rsid w:val="4B73481F"/>
    <w:rsid w:val="4BC15658"/>
    <w:rsid w:val="4BFF5D83"/>
    <w:rsid w:val="4C4148EB"/>
    <w:rsid w:val="4C785AF6"/>
    <w:rsid w:val="4CDF25AC"/>
    <w:rsid w:val="4D6954C5"/>
    <w:rsid w:val="4D860582"/>
    <w:rsid w:val="4DFB17A5"/>
    <w:rsid w:val="4E46256C"/>
    <w:rsid w:val="4E7D2F52"/>
    <w:rsid w:val="4F491FCA"/>
    <w:rsid w:val="4F6F5C27"/>
    <w:rsid w:val="4FB85B9F"/>
    <w:rsid w:val="4FE330AA"/>
    <w:rsid w:val="4FE50245"/>
    <w:rsid w:val="4FE801C5"/>
    <w:rsid w:val="50160490"/>
    <w:rsid w:val="50626468"/>
    <w:rsid w:val="50E043C0"/>
    <w:rsid w:val="50EC5847"/>
    <w:rsid w:val="51317043"/>
    <w:rsid w:val="51835076"/>
    <w:rsid w:val="51D51D50"/>
    <w:rsid w:val="520548BA"/>
    <w:rsid w:val="52C31C2F"/>
    <w:rsid w:val="531B7215"/>
    <w:rsid w:val="5359794D"/>
    <w:rsid w:val="548867E3"/>
    <w:rsid w:val="548A7CBF"/>
    <w:rsid w:val="54C75926"/>
    <w:rsid w:val="55086E4C"/>
    <w:rsid w:val="55A0023B"/>
    <w:rsid w:val="56044EB0"/>
    <w:rsid w:val="562247A7"/>
    <w:rsid w:val="56481F08"/>
    <w:rsid w:val="567C3765"/>
    <w:rsid w:val="56D86EE9"/>
    <w:rsid w:val="57415069"/>
    <w:rsid w:val="57436BCB"/>
    <w:rsid w:val="5756251F"/>
    <w:rsid w:val="5782579E"/>
    <w:rsid w:val="579A6F09"/>
    <w:rsid w:val="58192722"/>
    <w:rsid w:val="58A9494D"/>
    <w:rsid w:val="59AB0E96"/>
    <w:rsid w:val="59AD1612"/>
    <w:rsid w:val="5A8C449C"/>
    <w:rsid w:val="5AB912C9"/>
    <w:rsid w:val="5B832213"/>
    <w:rsid w:val="5BFA2EF7"/>
    <w:rsid w:val="5CCA4AFD"/>
    <w:rsid w:val="5D2F5FB2"/>
    <w:rsid w:val="5D4D621E"/>
    <w:rsid w:val="5EBD3A0B"/>
    <w:rsid w:val="5EDD5F95"/>
    <w:rsid w:val="5F3B0E9F"/>
    <w:rsid w:val="5FCC65CC"/>
    <w:rsid w:val="606C2DB7"/>
    <w:rsid w:val="607A0398"/>
    <w:rsid w:val="607C3E58"/>
    <w:rsid w:val="60A74C7B"/>
    <w:rsid w:val="60B35636"/>
    <w:rsid w:val="614800A8"/>
    <w:rsid w:val="61DA1D32"/>
    <w:rsid w:val="61E138C1"/>
    <w:rsid w:val="61EB5333"/>
    <w:rsid w:val="61F169F5"/>
    <w:rsid w:val="621A0401"/>
    <w:rsid w:val="622A069B"/>
    <w:rsid w:val="624E19F2"/>
    <w:rsid w:val="63653992"/>
    <w:rsid w:val="64B57DF0"/>
    <w:rsid w:val="64E7563D"/>
    <w:rsid w:val="65855ABB"/>
    <w:rsid w:val="65900DBE"/>
    <w:rsid w:val="660D1128"/>
    <w:rsid w:val="665F07B4"/>
    <w:rsid w:val="66605480"/>
    <w:rsid w:val="668A73A7"/>
    <w:rsid w:val="66E02B9F"/>
    <w:rsid w:val="68023812"/>
    <w:rsid w:val="687F3E33"/>
    <w:rsid w:val="68A133A9"/>
    <w:rsid w:val="68AB31C8"/>
    <w:rsid w:val="68C11868"/>
    <w:rsid w:val="695515CA"/>
    <w:rsid w:val="695E6428"/>
    <w:rsid w:val="6AEC05BC"/>
    <w:rsid w:val="6B993198"/>
    <w:rsid w:val="6BF84C7B"/>
    <w:rsid w:val="6C2B2308"/>
    <w:rsid w:val="6C823019"/>
    <w:rsid w:val="6CB15FBE"/>
    <w:rsid w:val="6D1370A4"/>
    <w:rsid w:val="6D292D69"/>
    <w:rsid w:val="6DF0448F"/>
    <w:rsid w:val="6DFD638B"/>
    <w:rsid w:val="6E7C7D4C"/>
    <w:rsid w:val="6E9F392D"/>
    <w:rsid w:val="6F631420"/>
    <w:rsid w:val="6F755D6A"/>
    <w:rsid w:val="70133189"/>
    <w:rsid w:val="70522D11"/>
    <w:rsid w:val="72025E99"/>
    <w:rsid w:val="72890D69"/>
    <w:rsid w:val="72C63F42"/>
    <w:rsid w:val="72C72C5E"/>
    <w:rsid w:val="72FC1E33"/>
    <w:rsid w:val="734D134E"/>
    <w:rsid w:val="736428DE"/>
    <w:rsid w:val="739E01CD"/>
    <w:rsid w:val="74075FA0"/>
    <w:rsid w:val="740A565C"/>
    <w:rsid w:val="74BF31D6"/>
    <w:rsid w:val="74D177C5"/>
    <w:rsid w:val="74E90613"/>
    <w:rsid w:val="74EE231D"/>
    <w:rsid w:val="755047F4"/>
    <w:rsid w:val="75631FBD"/>
    <w:rsid w:val="758672DF"/>
    <w:rsid w:val="75DD2516"/>
    <w:rsid w:val="75FE2405"/>
    <w:rsid w:val="761A68BF"/>
    <w:rsid w:val="762A586E"/>
    <w:rsid w:val="76A51934"/>
    <w:rsid w:val="76CC0825"/>
    <w:rsid w:val="76D33CC8"/>
    <w:rsid w:val="770851EE"/>
    <w:rsid w:val="773F219C"/>
    <w:rsid w:val="77691C22"/>
    <w:rsid w:val="77E03C3B"/>
    <w:rsid w:val="78161CAC"/>
    <w:rsid w:val="798C1E50"/>
    <w:rsid w:val="79E97E2C"/>
    <w:rsid w:val="7A682465"/>
    <w:rsid w:val="7ACC3BC2"/>
    <w:rsid w:val="7B1A582A"/>
    <w:rsid w:val="7B2B5921"/>
    <w:rsid w:val="7B5641E6"/>
    <w:rsid w:val="7B5F4AF6"/>
    <w:rsid w:val="7B600379"/>
    <w:rsid w:val="7B871056"/>
    <w:rsid w:val="7BA5245B"/>
    <w:rsid w:val="7C244BC4"/>
    <w:rsid w:val="7C3E57A2"/>
    <w:rsid w:val="7C7D6660"/>
    <w:rsid w:val="7CE02C9B"/>
    <w:rsid w:val="7E57385D"/>
    <w:rsid w:val="7E5A5EB2"/>
    <w:rsid w:val="7EB006E5"/>
    <w:rsid w:val="7F186E10"/>
    <w:rsid w:val="7F260F3F"/>
    <w:rsid w:val="7F322506"/>
    <w:rsid w:val="7F3A0649"/>
    <w:rsid w:val="7FAD436B"/>
    <w:rsid w:val="7FC54D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3"/>
    <w:basedOn w:val="1"/>
    <w:next w:val="1"/>
    <w:autoRedefine/>
    <w:qFormat/>
    <w:uiPriority w:val="0"/>
    <w:pPr>
      <w:keepNext/>
      <w:keepLines/>
      <w:spacing w:before="260" w:after="260" w:line="416" w:lineRule="auto"/>
      <w:jc w:val="center"/>
      <w:outlineLvl w:val="2"/>
    </w:pPr>
    <w:rPr>
      <w:rFonts w:ascii="宋体" w:hAnsi="Times New Roman"/>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autoRedefine/>
    <w:qFormat/>
    <w:uiPriority w:val="0"/>
    <w:pPr>
      <w:spacing w:after="120"/>
      <w:ind w:left="420" w:leftChars="200"/>
    </w:pPr>
  </w:style>
  <w:style w:type="paragraph" w:styleId="6">
    <w:name w:val="Document Map"/>
    <w:basedOn w:val="1"/>
    <w:link w:val="23"/>
    <w:autoRedefine/>
    <w:qFormat/>
    <w:uiPriority w:val="0"/>
    <w:rPr>
      <w:rFonts w:ascii="宋体"/>
      <w:sz w:val="18"/>
      <w:szCs w:val="18"/>
    </w:rPr>
  </w:style>
  <w:style w:type="paragraph" w:styleId="7">
    <w:name w:val="annotation text"/>
    <w:basedOn w:val="1"/>
    <w:autoRedefine/>
    <w:semiHidden/>
    <w:qFormat/>
    <w:uiPriority w:val="0"/>
    <w:pPr>
      <w:jc w:val="left"/>
    </w:pPr>
  </w:style>
  <w:style w:type="paragraph" w:styleId="8">
    <w:name w:val="Plain Text"/>
    <w:basedOn w:val="1"/>
    <w:autoRedefine/>
    <w:qFormat/>
    <w:uiPriority w:val="0"/>
    <w:rPr>
      <w:rFonts w:ascii="宋体" w:hAnsi="Courier New"/>
      <w:szCs w:val="20"/>
    </w:rPr>
  </w:style>
  <w:style w:type="paragraph" w:styleId="9">
    <w:name w:val="Body Text Indent 2"/>
    <w:basedOn w:val="1"/>
    <w:autoRedefine/>
    <w:qFormat/>
    <w:uiPriority w:val="0"/>
    <w:pPr>
      <w:spacing w:line="460" w:lineRule="exact"/>
      <w:ind w:left="360"/>
    </w:pPr>
    <w:rPr>
      <w:rFonts w:ascii="仿宋_GB2312" w:hAnsi="宋体" w:eastAsia="仿宋_GB2312"/>
    </w:rPr>
  </w:style>
  <w:style w:type="paragraph" w:styleId="10">
    <w:name w:val="Balloon Text"/>
    <w:basedOn w:val="1"/>
    <w:semiHidden/>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next w:val="3"/>
    <w:autoRedefine/>
    <w:qFormat/>
    <w:uiPriority w:val="0"/>
    <w:pPr>
      <w:snapToGrid w:val="0"/>
    </w:pPr>
    <w:rPr>
      <w:rFonts w:ascii="Arial" w:hAnsi="Arial" w:cs="Arial"/>
      <w:sz w:val="21"/>
      <w:szCs w:val="24"/>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Body Text Indent 3"/>
    <w:basedOn w:val="1"/>
    <w:link w:val="24"/>
    <w:autoRedefine/>
    <w:qFormat/>
    <w:uiPriority w:val="0"/>
    <w:pPr>
      <w:spacing w:after="120"/>
      <w:ind w:left="420" w:leftChars="200"/>
    </w:pPr>
    <w:rPr>
      <w:sz w:val="16"/>
      <w:szCs w:val="16"/>
    </w:rPr>
  </w:style>
  <w:style w:type="paragraph" w:styleId="16">
    <w:name w:val="annotation subject"/>
    <w:basedOn w:val="7"/>
    <w:next w:val="7"/>
    <w:autoRedefine/>
    <w:semiHidden/>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autoRedefine/>
    <w:qFormat/>
    <w:uiPriority w:val="99"/>
    <w:rPr>
      <w:color w:val="0000FF"/>
      <w:u w:val="single"/>
    </w:rPr>
  </w:style>
  <w:style w:type="character" w:styleId="22">
    <w:name w:val="annotation reference"/>
    <w:autoRedefine/>
    <w:semiHidden/>
    <w:qFormat/>
    <w:uiPriority w:val="0"/>
    <w:rPr>
      <w:sz w:val="21"/>
      <w:szCs w:val="21"/>
    </w:rPr>
  </w:style>
  <w:style w:type="character" w:customStyle="1" w:styleId="23">
    <w:name w:val="文档结构图 字符"/>
    <w:link w:val="6"/>
    <w:autoRedefine/>
    <w:qFormat/>
    <w:uiPriority w:val="0"/>
    <w:rPr>
      <w:rFonts w:ascii="宋体"/>
      <w:kern w:val="2"/>
      <w:sz w:val="18"/>
      <w:szCs w:val="18"/>
    </w:rPr>
  </w:style>
  <w:style w:type="character" w:customStyle="1" w:styleId="24">
    <w:name w:val="正文文本缩进 3 字符"/>
    <w:link w:val="15"/>
    <w:qFormat/>
    <w:uiPriority w:val="0"/>
    <w:rPr>
      <w:kern w:val="2"/>
      <w:sz w:val="16"/>
      <w:szCs w:val="16"/>
    </w:rPr>
  </w:style>
  <w:style w:type="paragraph" w:styleId="25">
    <w:name w:val="List Paragraph"/>
    <w:basedOn w:val="1"/>
    <w:qFormat/>
    <w:uiPriority w:val="0"/>
    <w:pPr>
      <w:ind w:firstLine="420" w:firstLineChars="200"/>
    </w:pPr>
  </w:style>
  <w:style w:type="paragraph" w:customStyle="1" w:styleId="26">
    <w:name w:val=" Char1 Char Char Char Char Char Char"/>
    <w:basedOn w:val="1"/>
    <w:autoRedefine/>
    <w:qFormat/>
    <w:uiPriority w:val="0"/>
    <w:rPr>
      <w:rFonts w:ascii="Tahoma" w:hAnsi="Tahoma"/>
      <w:sz w:val="24"/>
      <w:szCs w:val="20"/>
    </w:rPr>
  </w:style>
  <w:style w:type="paragraph" w:customStyle="1" w:styleId="27">
    <w:name w:val="_Style 26"/>
    <w:autoRedefine/>
    <w:unhideWhenUsed/>
    <w:qFormat/>
    <w:uiPriority w:val="99"/>
    <w:rPr>
      <w:rFonts w:ascii="Calibri" w:hAnsi="Calibri" w:eastAsia="宋体" w:cs="Times New Roman"/>
      <w:kern w:val="2"/>
      <w:sz w:val="21"/>
      <w:szCs w:val="24"/>
      <w:lang w:val="en-US" w:eastAsia="zh-CN" w:bidi="ar-SA"/>
    </w:rPr>
  </w:style>
  <w:style w:type="paragraph" w:customStyle="1" w:styleId="28">
    <w:name w:val="p0"/>
    <w:basedOn w:val="1"/>
    <w:autoRedefine/>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平安保险集团股份有限公司</Company>
  <Pages>24</Pages>
  <Words>5445</Words>
  <Characters>5763</Characters>
  <Lines>46</Lines>
  <Paragraphs>12</Paragraphs>
  <TotalTime>0</TotalTime>
  <ScaleCrop>false</ScaleCrop>
  <LinksUpToDate>false</LinksUpToDate>
  <CharactersWithSpaces>6305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2012-12-26T02:43:00Z</dcterms:created>
  <dc:creator>韩尚铮（宏权）</dc:creator>
  <cp:lastModifiedBy>今生摇曳着来生</cp:lastModifiedBy>
  <cp:lastPrinted>2020-03-10T06:46:00Z</cp:lastPrinted>
  <dcterms:modified xsi:type="dcterms:W3CDTF">2024-01-31T01:57:23Z</dcterms:modified>
  <dc:title>山东高速公路股份有限公司公开发行分离交易可转债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5FA9E5D48C2E44CC8D656B03753ADD7D_13</vt:lpwstr>
  </property>
</Properties>
</file>