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申请人全称）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的招标代理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比选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申请人：    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附件3:比选办法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比选办法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初步评审标准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签字盖章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法定代表人身份证明和法定代表人授权书已按提供的格式签字盖章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营业执照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综合评定分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在宿州市公共资源交易中心网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  <w:lang w:eastAsia="zh-CN"/>
              </w:rPr>
              <w:t>招标代理中介机构服务质量信息公开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综合评定分﹥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  <w:lang w:val="en-US" w:eastAsia="zh-CN"/>
              </w:rPr>
              <w:t>100分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  <w:lang w:val="en-US" w:eastAsia="zh-CN"/>
              </w:rPr>
              <w:t>提供宿州市公共资源交易平台截图。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比选申请人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业绩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比选申请人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2021年（以招标代理合同签订日期为准）以来跟踪审计、结算审计或造价咨询服务代理业绩（提供招标代理合同以及其他必要证明材料）。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shd w:val="clear" w:color="auto" w:fill="auto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企业实力：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服务方案：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评分标准（100分）</w:t>
            </w:r>
          </w:p>
        </w:tc>
        <w:tc>
          <w:tcPr>
            <w:tcW w:w="168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企业实力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人员配置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（1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 项目负责人具有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级及以上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的得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项目组成员每提供一个中级以上职称的得4分，满分10分（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提供证书复印件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否则不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得分）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。 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2.招标代理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项目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2021年（以招标代理合同签订日期为准）以来跟踪审计、结算审计或造价咨询服务代理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，每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分，满分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提供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招标代理合同及其他必要证明材料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，否则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不得分）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服务方案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1.对项目的认知度，评委进行横向对比评分（0-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2招标代理工作的内容、方法，评委进行横向对比评分（0-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szCs w:val="32"/>
              </w:rPr>
              <w:t>招标代理工作制度，评委进行横向对比评分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szCs w:val="32"/>
              </w:rPr>
              <w:t>招标代理进度计划，评委进行横向对比评分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Cs w:val="32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szCs w:val="32"/>
              </w:rPr>
              <w:t>招标代理服务承诺，评委进行横向对比评分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（0-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分）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</w:tbl>
    <w:p/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pStyle w:val="4"/>
        <w:shd w:val="clear" w:color="auto" w:fill="FDFDFD"/>
        <w:spacing w:before="0" w:beforeAutospacing="0" w:after="0" w:afterAutospacing="0" w:line="585" w:lineRule="atLeast"/>
        <w:ind w:firstLine="555"/>
        <w:rPr>
          <w:rFonts w:hint="eastAsia"/>
          <w:color w:val="333333"/>
          <w:sz w:val="29"/>
          <w:szCs w:val="29"/>
          <w:shd w:val="clear" w:color="auto" w:fill="FDFDFD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14E4CEB"/>
    <w:rsid w:val="060379FA"/>
    <w:rsid w:val="09CD046C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201163AE"/>
    <w:rsid w:val="20E73D48"/>
    <w:rsid w:val="22394A78"/>
    <w:rsid w:val="22A20E20"/>
    <w:rsid w:val="245C2C9F"/>
    <w:rsid w:val="265341BF"/>
    <w:rsid w:val="2BF81500"/>
    <w:rsid w:val="30F524B2"/>
    <w:rsid w:val="310F3573"/>
    <w:rsid w:val="31210BB1"/>
    <w:rsid w:val="323B5CA2"/>
    <w:rsid w:val="39847DD4"/>
    <w:rsid w:val="3A655FB2"/>
    <w:rsid w:val="3CD45671"/>
    <w:rsid w:val="3D536596"/>
    <w:rsid w:val="40263E71"/>
    <w:rsid w:val="436209A4"/>
    <w:rsid w:val="4B6D116B"/>
    <w:rsid w:val="4CAD5597"/>
    <w:rsid w:val="4D227D33"/>
    <w:rsid w:val="4D261B47"/>
    <w:rsid w:val="511A58F1"/>
    <w:rsid w:val="52447CCC"/>
    <w:rsid w:val="5CC84EC2"/>
    <w:rsid w:val="5E602469"/>
    <w:rsid w:val="5FA6034F"/>
    <w:rsid w:val="5FCF3D4A"/>
    <w:rsid w:val="644C4093"/>
    <w:rsid w:val="65F8742B"/>
    <w:rsid w:val="69D32689"/>
    <w:rsid w:val="6A8B74AC"/>
    <w:rsid w:val="6CAB169B"/>
    <w:rsid w:val="6D6F4B97"/>
    <w:rsid w:val="6E511DCE"/>
    <w:rsid w:val="6ED94165"/>
    <w:rsid w:val="6FAF25C8"/>
    <w:rsid w:val="73726A6F"/>
    <w:rsid w:val="74085625"/>
    <w:rsid w:val="74D177C5"/>
    <w:rsid w:val="76F37EC6"/>
    <w:rsid w:val="7B3867F0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next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1153</Characters>
  <Lines>0</Lines>
  <Paragraphs>0</Paragraphs>
  <TotalTime>5</TotalTime>
  <ScaleCrop>false</ScaleCrop>
  <LinksUpToDate>false</LinksUpToDate>
  <CharactersWithSpaces>1321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cp:lastPrinted>2024-04-01T07:32:00Z</cp:lastPrinted>
  <dcterms:modified xsi:type="dcterms:W3CDTF">2024-05-15T01:34:43Z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7D3511CA4D7D4E359DCAA44533EB970C_13</vt:lpwstr>
  </property>
</Properties>
</file>