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1：</w:t>
      </w: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（一）法定代表人身份证明书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公司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名称：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地     址： 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成立时间：    年 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经营期限：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姓名：        性别：      年龄：     职务： 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                                   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（单位名称）的法定代表人。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特此证明。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   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日  期：    年     月    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附：法定代表人身份证复印件（正反面）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附件2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（二）法定代表人授权书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本人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（姓名）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系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>   （</w:t>
      </w:r>
      <w:r>
        <w:rPr>
          <w:rFonts w:hint="eastAsia" w:ascii="仿宋" w:hAnsi="仿宋" w:eastAsia="仿宋" w:cs="仿宋"/>
          <w:color w:val="333333"/>
          <w:sz w:val="28"/>
          <w:u w:val="single"/>
          <w:shd w:val="clear" w:color="auto" w:fill="FFFFFF"/>
          <w:lang w:eastAsia="zh-CN"/>
        </w:rPr>
        <w:t>比选申请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人全称）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的法定代表人，现委托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     （姓名）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为我方代理人；代理人根据授权，以我方名义签署、澄清、说明、补正、递交、撤回、修改</w:t>
      </w:r>
      <w:r>
        <w:rPr>
          <w:rFonts w:ascii="仿宋" w:hAnsi="仿宋" w:eastAsia="仿宋" w:cs="仿宋"/>
          <w:color w:val="333333"/>
          <w:sz w:val="28"/>
          <w:u w:val="single"/>
          <w:shd w:val="clear" w:color="auto" w:fill="FFFFFF"/>
        </w:rPr>
        <w:t xml:space="preserve">  （项目名称）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比选申请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文件和处理有关事宜，其法律后果由我方承担。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代理人无转委托权。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特此委托。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法定代表人：       （签字或盖章）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代理人：            （签字）        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身份证号码：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投标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人：    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 xml:space="preserve">    </w:t>
      </w: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（盖单位章）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年   月   日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ascii="仿宋" w:hAnsi="仿宋" w:eastAsia="仿宋" w:cs="仿宋"/>
          <w:color w:val="333333"/>
          <w:sz w:val="28"/>
          <w:shd w:val="clear" w:color="auto" w:fill="FFFFFF"/>
        </w:rPr>
        <w:t>附：法定代表人和委托代理人身份证正反面复印件</w:t>
      </w:r>
    </w:p>
    <w:p>
      <w:pPr>
        <w:spacing w:after="105" w:line="500" w:lineRule="auto"/>
        <w:ind w:firstLine="420"/>
        <w:rPr>
          <w:rFonts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ascii="仿宋" w:hAnsi="仿宋" w:eastAsia="仿宋" w:cs="仿宋"/>
          <w:color w:val="333333"/>
          <w:sz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附件3: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评标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办法</w:t>
      </w:r>
    </w:p>
    <w:p>
      <w:pPr>
        <w:spacing w:after="105" w:line="500" w:lineRule="auto"/>
        <w:jc w:val="center"/>
        <w:rPr>
          <w:rFonts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  <w:lang w:eastAsia="zh-CN"/>
        </w:rPr>
        <w:t>评标</w:t>
      </w:r>
      <w:r>
        <w:rPr>
          <w:rFonts w:hint="eastAsia" w:ascii="仿宋" w:hAnsi="仿宋" w:eastAsia="仿宋" w:cs="仿宋"/>
          <w:b/>
          <w:bCs/>
          <w:color w:val="333333"/>
          <w:sz w:val="40"/>
          <w:szCs w:val="32"/>
          <w:shd w:val="clear" w:color="auto" w:fill="FFFFFF"/>
        </w:rPr>
        <w:t>办法</w:t>
      </w:r>
    </w:p>
    <w:tbl>
      <w:tblPr>
        <w:tblStyle w:val="5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86"/>
        <w:gridCol w:w="6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资格审查条件及要求</w:t>
            </w: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经营能力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具有独立法人资格，具有有效的“三证合一”的营业执照，提供有效的营业执照复印件并加盖公章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比选申请人至少具有一个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2019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以来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35KV以上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电力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工程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监理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业绩【时间以合同签订时间为准，提供合同扫描件，以及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其他必要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证明材料（如竣工验收报告、或加盖业主公章的业主证明文件等）】。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人员配置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拟派总监理工程师具备电力工程专业国家注册监理工程师资格，且在比选申请人单位注册。提供为拟派总监理工程师缴纳的社保证明(时间要求：2023 年11月1日以来任意连续三个月；社保证明材料须加盖社保主管部门印章或电子专用章)。项目总监无在建项目（包括已中标公示项目）或虽在其他项目上任职但本项目中标后能从该项目撤离。本项目应配备满足工程需要的专业监理工程师及监理人员（【提供注册监理工程师注册证书、社保证明、承诺书等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联合体申请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不允许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分值构成</w:t>
            </w:r>
          </w:p>
          <w:p>
            <w:pPr>
              <w:spacing w:line="360" w:lineRule="auto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  <w:t>(总分100分)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商务部分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  <w:p>
            <w:pPr>
              <w:spacing w:line="360" w:lineRule="auto"/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技术部分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评分因素</w:t>
            </w:r>
          </w:p>
        </w:tc>
        <w:tc>
          <w:tcPr>
            <w:tcW w:w="610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  <w:shd w:val="clear" w:color="auto" w:fill="FFFFFF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pStyle w:val="2"/>
              <w:spacing w:line="360" w:lineRule="auto"/>
              <w:rPr>
                <w:rFonts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评分标准（100分）</w:t>
            </w:r>
          </w:p>
        </w:tc>
        <w:tc>
          <w:tcPr>
            <w:tcW w:w="1686" w:type="dxa"/>
            <w:vMerge w:val="restart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商务部分</w:t>
            </w:r>
          </w:p>
          <w:p>
            <w:pPr>
              <w:pStyle w:val="2"/>
              <w:spacing w:line="360" w:lineRule="auto"/>
              <w:jc w:val="center"/>
              <w:rPr>
                <w:rFonts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0分）</w:t>
            </w:r>
          </w:p>
        </w:tc>
        <w:tc>
          <w:tcPr>
            <w:tcW w:w="6100" w:type="dxa"/>
            <w:vAlign w:val="center"/>
          </w:tcPr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一、报价得分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>（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/>
              </w:rPr>
              <w:t xml:space="preserve">分）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比选申请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人自行报价，超过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控制价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的报价无效。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1）、基准价：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各有效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报价平均值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为评标基准价，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将计算求得的最终基准价C值作为满分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0分。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2）、偏差率=100%×（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比选申请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价－基准价）/基准价，偏差率保 留 2 位小数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3）、价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格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得分（保留两位小数）计算公式示例：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（1）如果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比选申请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人的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价&gt;基准价，则价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格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得分=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0－偏差率×100×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 xml:space="preserve">； 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（2）如果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比选申请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人的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报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价≤基准价，则价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格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得分=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0＋偏差率×100×</w:t>
            </w:r>
            <w:r>
              <w:rPr>
                <w:rFonts w:hint="eastAsia" w:ascii="仿宋" w:hAnsi="仿宋" w:eastAsia="仿宋" w:cs="仿宋"/>
                <w:szCs w:val="24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pStyle w:val="2"/>
              <w:spacing w:line="360" w:lineRule="auto"/>
            </w:pPr>
          </w:p>
        </w:tc>
        <w:tc>
          <w:tcPr>
            <w:tcW w:w="1686" w:type="dxa"/>
            <w:vMerge w:val="continue"/>
            <w:vAlign w:val="center"/>
          </w:tcPr>
          <w:p>
            <w:pPr>
              <w:pStyle w:val="2"/>
              <w:spacing w:line="360" w:lineRule="auto"/>
            </w:pPr>
          </w:p>
        </w:tc>
        <w:tc>
          <w:tcPr>
            <w:tcW w:w="610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项目业绩（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企业业绩：比选申请文件每提供一个满足要求的35KV以上相关电力监理业绩，得10分，最高20分。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已完成或履约中的业绩均认可。提供业绩合同复印件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业绩合同如无法明确反应评审因素，允许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比选申请</w:t>
            </w:r>
            <w:r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人在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比选</w:t>
            </w:r>
            <w:r>
              <w:rPr>
                <w:rFonts w:hint="default" w:ascii="仿宋" w:hAnsi="仿宋" w:eastAsia="仿宋" w:cs="仿宋"/>
                <w:kern w:val="1"/>
                <w:sz w:val="24"/>
                <w:szCs w:val="24"/>
                <w:shd w:val="clear" w:color="auto" w:fill="FFFFFF"/>
                <w:lang w:val="en-US" w:eastAsia="zh-CN"/>
              </w:rPr>
              <w:t>文件内提供其他证明材料，否则业绩不予认可。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技术部分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0分）</w:t>
            </w:r>
          </w:p>
        </w:tc>
        <w:tc>
          <w:tcPr>
            <w:tcW w:w="6100" w:type="dxa"/>
          </w:tcPr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根据比选申请人提供的方案进行评审，包含但不限于： 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评委综合比较比选申请人对工程概况、项目监理班子组织形式、人员结构、职责任务、质量控制、进度控制、造价控制、安全生产文明施工、合同和信息管理、组织协调、投入检测仪器、旁站监理，项目重难点分析及合理化建议：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未提供或有重大偏差的不得分。 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内容一般全面、流程、措施一般的得10-20分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（3）内容较全面、流程较科学、措施较好的得20-30分 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（4）内容全面、流程科学、措施明确的得30-40分； </w:t>
            </w:r>
          </w:p>
          <w:p>
            <w:pPr>
              <w:pStyle w:val="2"/>
              <w:spacing w:line="360" w:lineRule="auto"/>
              <w:rPr>
                <w:rFonts w:hint="eastAsia" w:eastAsia="仿宋"/>
                <w:lang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注：重大偏差主要是指服务方案与工程情况不符，或违反强制性国家标准等情况。 如有重大偏差，经评标委员会人员总数2/3以上通过，并经合议后评委可将其按0分处理。 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</w:rPr>
      </w:pP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  <w:t>承诺书</w:t>
      </w:r>
    </w:p>
    <w:p>
      <w:pPr>
        <w:spacing w:after="105" w:line="500" w:lineRule="auto"/>
        <w:jc w:val="left"/>
        <w:rPr>
          <w:rFonts w:hint="eastAsia" w:ascii="仿宋" w:hAnsi="仿宋" w:eastAsia="仿宋" w:cs="仿宋"/>
          <w:color w:val="333333"/>
          <w:sz w:val="28"/>
          <w:shd w:val="clear" w:color="auto" w:fill="FFFFFF"/>
          <w:lang w:eastAsia="zh-CN"/>
        </w:rPr>
      </w:pPr>
    </w:p>
    <w:p>
      <w:pPr>
        <w:spacing w:after="105" w:line="500" w:lineRule="auto"/>
        <w:jc w:val="center"/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color="auto" w:fill="FFFFFF"/>
          <w:lang w:eastAsia="zh-CN"/>
        </w:rPr>
        <w:t>承诺书</w:t>
      </w:r>
    </w:p>
    <w:p>
      <w:pPr>
        <w:spacing w:after="105" w:line="500" w:lineRule="auto"/>
        <w:jc w:val="center"/>
        <w:rPr>
          <w:rFonts w:hint="eastAsia" w:asciiTheme="majorEastAsia" w:hAnsiTheme="majorEastAsia" w:eastAsiaTheme="majorEastAsia" w:cstheme="majorEastAsia"/>
          <w:color w:val="333333"/>
          <w:sz w:val="44"/>
          <w:szCs w:val="44"/>
          <w:shd w:val="clear" w:color="auto" w:fill="FFFFFF"/>
          <w:lang w:eastAsia="zh-CN"/>
        </w:rPr>
      </w:pP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致：萧县交通投资有限责任公司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如我公司中标萧县G311国道第三、第四、第五标段35千伏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10千伏线路迁改工程（EPC）监理服务项目，我公司郑重承诺如下：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我公司将按要求配备满足工程需要的专业监理工程师及监理人员；拟派项目总监无在建项目（包括已中标公示项目）或虽在其他项目上任职但本项目中标后能够从该项目撤离。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若我公司违背以上承诺，我公司将自动放弃中标资格。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特此承诺！</w:t>
      </w: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承诺单位：（盖章）</w:t>
      </w:r>
    </w:p>
    <w:p>
      <w:pPr>
        <w:ind w:firstLine="64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日    期：   年   月   日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4AC3B"/>
    <w:multiLevelType w:val="singleLevel"/>
    <w:tmpl w:val="88B4AC3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14B150A"/>
    <w:multiLevelType w:val="singleLevel"/>
    <w:tmpl w:val="114B15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E2CC31"/>
    <w:multiLevelType w:val="singleLevel"/>
    <w:tmpl w:val="3CE2CC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mVjODc0OTVkZjhmZTE1ZTE3M2M5ZTRhMWIwMGMifQ=="/>
    <w:docVar w:name="KSO_WPS_MARK_KEY" w:val="4892671d-309a-4982-acfa-5e26fe8de263"/>
  </w:docVars>
  <w:rsids>
    <w:rsidRoot w:val="12695677"/>
    <w:rsid w:val="00EA40E8"/>
    <w:rsid w:val="060379FA"/>
    <w:rsid w:val="0B8D66E4"/>
    <w:rsid w:val="0C885AEB"/>
    <w:rsid w:val="0DB11090"/>
    <w:rsid w:val="0F5F5CA1"/>
    <w:rsid w:val="0FDA7FB9"/>
    <w:rsid w:val="115B06EA"/>
    <w:rsid w:val="11923A5B"/>
    <w:rsid w:val="12695677"/>
    <w:rsid w:val="151D55BB"/>
    <w:rsid w:val="185D11EC"/>
    <w:rsid w:val="19742C91"/>
    <w:rsid w:val="197808DA"/>
    <w:rsid w:val="1997072D"/>
    <w:rsid w:val="1E0C793C"/>
    <w:rsid w:val="201163AE"/>
    <w:rsid w:val="20E73D48"/>
    <w:rsid w:val="22394A78"/>
    <w:rsid w:val="22A20E20"/>
    <w:rsid w:val="245C2C9F"/>
    <w:rsid w:val="265341BF"/>
    <w:rsid w:val="2BF81500"/>
    <w:rsid w:val="2DF111E7"/>
    <w:rsid w:val="30F524B2"/>
    <w:rsid w:val="310F3573"/>
    <w:rsid w:val="31210BB1"/>
    <w:rsid w:val="323B5CA2"/>
    <w:rsid w:val="35D0015B"/>
    <w:rsid w:val="3A655FB2"/>
    <w:rsid w:val="3CD45671"/>
    <w:rsid w:val="3D536596"/>
    <w:rsid w:val="40263E71"/>
    <w:rsid w:val="4B6D116B"/>
    <w:rsid w:val="4CAD5597"/>
    <w:rsid w:val="4D227D33"/>
    <w:rsid w:val="4D261B47"/>
    <w:rsid w:val="511A58F1"/>
    <w:rsid w:val="52447CCC"/>
    <w:rsid w:val="538E0A16"/>
    <w:rsid w:val="5B7B5B80"/>
    <w:rsid w:val="5E602469"/>
    <w:rsid w:val="5FA6034F"/>
    <w:rsid w:val="5FCF3D4A"/>
    <w:rsid w:val="644C4093"/>
    <w:rsid w:val="65F8742B"/>
    <w:rsid w:val="69D32689"/>
    <w:rsid w:val="6AAC5918"/>
    <w:rsid w:val="6AD07E22"/>
    <w:rsid w:val="6CAB169B"/>
    <w:rsid w:val="6D6F4B97"/>
    <w:rsid w:val="6E511DCE"/>
    <w:rsid w:val="6ED94165"/>
    <w:rsid w:val="718700FF"/>
    <w:rsid w:val="73726A6F"/>
    <w:rsid w:val="74085625"/>
    <w:rsid w:val="74D177C5"/>
    <w:rsid w:val="76F37EC6"/>
    <w:rsid w:val="77217D55"/>
    <w:rsid w:val="791E1C51"/>
    <w:rsid w:val="7B3867F0"/>
    <w:rsid w:val="7BB36BFD"/>
    <w:rsid w:val="7BD302C6"/>
    <w:rsid w:val="7D0B583E"/>
    <w:rsid w:val="7D160888"/>
    <w:rsid w:val="7F705372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autoRedefine/>
    <w:qFormat/>
    <w:uiPriority w:val="0"/>
    <w:rPr>
      <w:rFonts w:ascii="宋体" w:hAnsi="宋体"/>
      <w:kern w:val="1"/>
      <w:sz w:val="24"/>
      <w:szCs w:val="20"/>
      <w:lang w:val="zh-CN"/>
    </w:rPr>
  </w:style>
  <w:style w:type="paragraph" w:styleId="3">
    <w:name w:val="Body Text"/>
    <w:basedOn w:val="1"/>
    <w:next w:val="1"/>
    <w:autoRedefine/>
    <w:qFormat/>
    <w:uiPriority w:val="0"/>
    <w:rPr>
      <w:rFonts w:ascii="宋体" w:hAnsi="Arial"/>
      <w:sz w:val="28"/>
      <w:szCs w:val="20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1528</Words>
  <Characters>1589</Characters>
  <Lines>0</Lines>
  <Paragraphs>0</Paragraphs>
  <TotalTime>22</TotalTime>
  <ScaleCrop>false</ScaleCrop>
  <LinksUpToDate>false</LinksUpToDate>
  <CharactersWithSpaces>1840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2024-01-23T09:36:00Z</dcterms:created>
  <dc:creator>刘钦志</dc:creator>
  <cp:lastModifiedBy>忘却</cp:lastModifiedBy>
  <dcterms:modified xsi:type="dcterms:W3CDTF">2024-05-31T01:58:44Z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7D3511CA4D7D4E359DCAA44533EB970C_13</vt:lpwstr>
  </property>
</Properties>
</file>