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6977A">
      <w:pPr>
        <w:spacing w:after="105" w:line="500" w:lineRule="auto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038CF351">
      <w:pPr>
        <w:spacing w:after="105" w:line="500" w:lineRule="auto"/>
        <w:rPr>
          <w:rFonts w:hint="eastAsia" w:ascii="仿宋" w:hAnsi="仿宋" w:eastAsia="仿宋" w:cs="仿宋"/>
          <w:color w:val="333333"/>
          <w:sz w:val="28"/>
          <w:shd w:val="clear" w:color="auto" w:fill="FFFFFF"/>
          <w:lang w:val="en-US" w:eastAsia="zh-CN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附件</w:t>
      </w: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val="en-US" w:eastAsia="zh-CN"/>
        </w:rPr>
        <w:t>1：</w:t>
      </w:r>
    </w:p>
    <w:p w14:paraId="30BFA594">
      <w:pPr>
        <w:spacing w:after="105" w:line="500" w:lineRule="auto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（一）法定代表人身份证明书</w:t>
      </w:r>
    </w:p>
    <w:p w14:paraId="28211E8C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eastAsia="zh-CN"/>
        </w:rPr>
        <w:t>公司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名称：</w:t>
      </w:r>
    </w:p>
    <w:p w14:paraId="14FF6DCB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地     址：    </w:t>
      </w:r>
    </w:p>
    <w:p w14:paraId="3A90EC9E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成立时间：    年    月   日</w:t>
      </w:r>
    </w:p>
    <w:p w14:paraId="566FEE05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经营期限：</w:t>
      </w:r>
    </w:p>
    <w:p w14:paraId="091AF322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姓名：        性别：      年龄：     职务：     </w:t>
      </w:r>
    </w:p>
    <w:p w14:paraId="302407EC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系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>                                    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（单位名称）的法定代表人。</w:t>
      </w:r>
    </w:p>
    <w:p w14:paraId="24491261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特此证明。</w:t>
      </w:r>
    </w:p>
    <w:p w14:paraId="2C59EDDA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eastAsia="zh-CN"/>
        </w:rPr>
        <w:t>比选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申请人：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 xml:space="preserve">        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（盖单位章）</w:t>
      </w:r>
    </w:p>
    <w:p w14:paraId="4C0433F0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日  期：    年     月    日</w:t>
      </w:r>
    </w:p>
    <w:p w14:paraId="614ACEE0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附：法定代表人身份证复印件（正反面）</w:t>
      </w:r>
    </w:p>
    <w:p w14:paraId="1E6F7441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1A0F43CE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19DA57D2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353DEC83">
      <w:pPr>
        <w:spacing w:after="105" w:line="500" w:lineRule="auto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1DD4C052">
      <w:pPr>
        <w:spacing w:after="105" w:line="500" w:lineRule="auto"/>
        <w:rPr>
          <w:rFonts w:ascii="仿宋" w:hAnsi="仿宋" w:eastAsia="仿宋" w:cs="仿宋"/>
          <w:color w:val="333333"/>
          <w:sz w:val="28"/>
          <w:shd w:val="clear" w:color="auto" w:fill="FFFFFF"/>
        </w:rPr>
      </w:pPr>
    </w:p>
    <w:p w14:paraId="3FEC8DB4">
      <w:pPr>
        <w:spacing w:after="105" w:line="500" w:lineRule="auto"/>
        <w:rPr>
          <w:rFonts w:hint="eastAsia" w:ascii="仿宋" w:hAnsi="仿宋" w:eastAsia="仿宋" w:cs="仿宋"/>
          <w:color w:val="333333"/>
          <w:sz w:val="28"/>
          <w:shd w:val="clear" w:color="auto" w:fill="FFFFFF"/>
          <w:lang w:eastAsia="zh-CN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附件2</w:t>
      </w: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eastAsia="zh-CN"/>
        </w:rPr>
        <w:t>：</w:t>
      </w:r>
    </w:p>
    <w:p w14:paraId="32563D17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（二）法定代表人授权书</w:t>
      </w:r>
    </w:p>
    <w:p w14:paraId="20333FA6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本人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 xml:space="preserve">   （姓名） 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系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>   （</w:t>
      </w:r>
      <w:r>
        <w:rPr>
          <w:rFonts w:hint="eastAsia" w:ascii="仿宋" w:hAnsi="仿宋" w:eastAsia="仿宋" w:cs="仿宋"/>
          <w:color w:val="333333"/>
          <w:sz w:val="28"/>
          <w:u w:val="single"/>
          <w:shd w:val="clear" w:color="auto" w:fill="FFFFFF"/>
          <w:lang w:eastAsia="zh-CN"/>
        </w:rPr>
        <w:t>比选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 xml:space="preserve">申请人全称）  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的法定代表人，现委托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 xml:space="preserve">     （姓名）   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为我方代理人；代理人根据授权，以我方名义签署、澄清、说明、补正、递交、撤回、修改</w:t>
      </w:r>
      <w:r>
        <w:rPr>
          <w:rFonts w:ascii="仿宋" w:hAnsi="仿宋" w:eastAsia="仿宋" w:cs="仿宋"/>
          <w:color w:val="333333"/>
          <w:sz w:val="28"/>
          <w:u w:val="single"/>
          <w:shd w:val="clear" w:color="auto" w:fill="FFFFFF"/>
        </w:rPr>
        <w:t xml:space="preserve">  （项目名称）  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的招标代理</w:t>
      </w: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eastAsia="zh-CN"/>
        </w:rPr>
        <w:t>比选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申请文件和处理有关事宜，其法律后果由我方承担。</w:t>
      </w:r>
    </w:p>
    <w:p w14:paraId="4B2C361C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代理人无转委托权。</w:t>
      </w:r>
    </w:p>
    <w:p w14:paraId="7FA6676C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特此委托。</w:t>
      </w:r>
    </w:p>
    <w:p w14:paraId="1CD71E32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法定代表人：       （签字或盖章）</w:t>
      </w:r>
    </w:p>
    <w:p w14:paraId="70686509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身份证号码：</w:t>
      </w:r>
    </w:p>
    <w:p w14:paraId="25C0D70D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代理人：            （签字）        </w:t>
      </w:r>
    </w:p>
    <w:p w14:paraId="3EABEB7E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身份证号码：</w:t>
      </w:r>
    </w:p>
    <w:p w14:paraId="25EFE415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hd w:val="clear" w:color="auto" w:fill="FFFFFF"/>
          <w:lang w:val="en-US" w:eastAsia="zh-CN"/>
        </w:rPr>
        <w:t>比选</w:t>
      </w: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申请人：    （盖单位章）</w:t>
      </w:r>
    </w:p>
    <w:p w14:paraId="091E0E71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年   月   日</w:t>
      </w:r>
    </w:p>
    <w:p w14:paraId="0310E997">
      <w:pPr>
        <w:spacing w:after="105" w:line="500" w:lineRule="auto"/>
        <w:ind w:firstLine="420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ascii="仿宋" w:hAnsi="仿宋" w:eastAsia="仿宋" w:cs="仿宋"/>
          <w:color w:val="333333"/>
          <w:sz w:val="28"/>
          <w:shd w:val="clear" w:color="auto" w:fill="FFFFFF"/>
        </w:rPr>
        <w:t>附：法定代表人和委托代理人身份证正反面复印件</w:t>
      </w:r>
    </w:p>
    <w:p w14:paraId="0498212F">
      <w:pPr>
        <w:spacing w:after="105" w:line="500" w:lineRule="auto"/>
        <w:jc w:val="left"/>
        <w:rPr>
          <w:rFonts w:hint="eastAsia" w:ascii="仿宋" w:hAnsi="仿宋" w:eastAsia="仿宋" w:cs="仿宋"/>
          <w:color w:val="333333"/>
          <w:sz w:val="28"/>
          <w:shd w:val="clear" w:color="auto" w:fill="FFFFFF"/>
        </w:rPr>
      </w:pPr>
    </w:p>
    <w:p w14:paraId="3A5BCFA9">
      <w:pPr>
        <w:spacing w:after="105" w:line="500" w:lineRule="auto"/>
        <w:jc w:val="left"/>
        <w:rPr>
          <w:rFonts w:hint="eastAsia" w:ascii="仿宋" w:hAnsi="仿宋" w:eastAsia="仿宋" w:cs="仿宋"/>
          <w:color w:val="333333"/>
          <w:sz w:val="28"/>
          <w:shd w:val="clear" w:color="auto" w:fill="FFFFFF"/>
        </w:rPr>
      </w:pPr>
    </w:p>
    <w:p w14:paraId="16E39565">
      <w:pPr>
        <w:spacing w:after="105" w:line="500" w:lineRule="auto"/>
        <w:jc w:val="left"/>
        <w:rPr>
          <w:rFonts w:hint="eastAsia" w:ascii="仿宋" w:hAnsi="仿宋" w:eastAsia="仿宋" w:cs="仿宋"/>
          <w:color w:val="333333"/>
          <w:sz w:val="28"/>
          <w:shd w:val="clear" w:color="auto" w:fill="FFFFFF"/>
        </w:rPr>
      </w:pPr>
    </w:p>
    <w:p w14:paraId="60191298">
      <w:pPr>
        <w:spacing w:after="105" w:line="500" w:lineRule="auto"/>
        <w:jc w:val="left"/>
        <w:rPr>
          <w:rFonts w:hint="eastAsia" w:ascii="仿宋" w:hAnsi="仿宋" w:eastAsia="仿宋" w:cs="仿宋"/>
          <w:color w:val="333333"/>
          <w:sz w:val="28"/>
          <w:shd w:val="clear" w:color="auto" w:fill="FFFFFF"/>
        </w:rPr>
      </w:pPr>
    </w:p>
    <w:p w14:paraId="1FD571E6">
      <w:pPr>
        <w:spacing w:after="105" w:line="500" w:lineRule="auto"/>
        <w:jc w:val="left"/>
        <w:rPr>
          <w:rFonts w:ascii="仿宋" w:hAnsi="仿宋" w:eastAsia="仿宋" w:cs="仿宋"/>
          <w:color w:val="333333"/>
          <w:sz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hd w:val="clear" w:color="auto" w:fill="FFFFFF"/>
        </w:rPr>
        <w:t>附件3:比选办法</w:t>
      </w:r>
    </w:p>
    <w:p w14:paraId="39EAEA28">
      <w:pPr>
        <w:spacing w:after="105" w:line="500" w:lineRule="auto"/>
        <w:jc w:val="center"/>
        <w:rPr>
          <w:rFonts w:ascii="仿宋" w:hAnsi="仿宋" w:eastAsia="仿宋" w:cs="仿宋"/>
          <w:b/>
          <w:bCs/>
          <w:color w:val="333333"/>
          <w:sz w:val="40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40"/>
          <w:szCs w:val="32"/>
          <w:shd w:val="clear" w:color="auto" w:fill="FFFFFF"/>
        </w:rPr>
        <w:t>比选办法</w:t>
      </w:r>
    </w:p>
    <w:tbl>
      <w:tblPr>
        <w:tblStyle w:val="7"/>
        <w:tblW w:w="8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686"/>
        <w:gridCol w:w="6100"/>
      </w:tblGrid>
      <w:tr w14:paraId="0E53F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707" w:type="dxa"/>
            <w:gridSpan w:val="2"/>
            <w:vAlign w:val="center"/>
          </w:tcPr>
          <w:p w14:paraId="6972EDEF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  <w:t>评审因素</w:t>
            </w:r>
          </w:p>
        </w:tc>
        <w:tc>
          <w:tcPr>
            <w:tcW w:w="6100" w:type="dxa"/>
            <w:vAlign w:val="center"/>
          </w:tcPr>
          <w:p w14:paraId="24F5BE72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  <w:t>评审标准</w:t>
            </w:r>
          </w:p>
        </w:tc>
      </w:tr>
      <w:tr w14:paraId="1DB4D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21" w:type="dxa"/>
            <w:vMerge w:val="restart"/>
            <w:vAlign w:val="center"/>
          </w:tcPr>
          <w:p w14:paraId="5E3A30B6">
            <w:pPr>
              <w:spacing w:line="360" w:lineRule="auto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初步评审标准</w:t>
            </w:r>
          </w:p>
        </w:tc>
        <w:tc>
          <w:tcPr>
            <w:tcW w:w="1686" w:type="dxa"/>
            <w:vAlign w:val="center"/>
          </w:tcPr>
          <w:p w14:paraId="74C78CDD">
            <w:pPr>
              <w:spacing w:line="360" w:lineRule="auto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签字盖章</w:t>
            </w:r>
          </w:p>
        </w:tc>
        <w:tc>
          <w:tcPr>
            <w:tcW w:w="6100" w:type="dxa"/>
            <w:vAlign w:val="center"/>
          </w:tcPr>
          <w:p w14:paraId="158BEE54">
            <w:pPr>
              <w:spacing w:line="360" w:lineRule="auto"/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法定代表人身份证明和法定代表人授权书已按提供的格式签字盖章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</w:tc>
      </w:tr>
      <w:tr w14:paraId="22BC3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1021" w:type="dxa"/>
            <w:vMerge w:val="continue"/>
            <w:vAlign w:val="center"/>
          </w:tcPr>
          <w:p w14:paraId="512F75BC">
            <w:pPr>
              <w:spacing w:line="360" w:lineRule="auto"/>
              <w:jc w:val="left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6" w:type="dxa"/>
            <w:vAlign w:val="center"/>
          </w:tcPr>
          <w:p w14:paraId="109ECA99">
            <w:pPr>
              <w:spacing w:line="360" w:lineRule="auto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营业执照</w:t>
            </w:r>
          </w:p>
        </w:tc>
        <w:tc>
          <w:tcPr>
            <w:tcW w:w="6100" w:type="dxa"/>
            <w:vAlign w:val="center"/>
          </w:tcPr>
          <w:p w14:paraId="19AF113F">
            <w:pPr>
              <w:spacing w:line="360" w:lineRule="auto"/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具有独立法人资格，具有有效的“三证合一”的营业执照，提供有效的营业执照复印件并加盖公章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eastAsia="zh-CN"/>
              </w:rPr>
              <w:t>。</w:t>
            </w:r>
          </w:p>
        </w:tc>
      </w:tr>
      <w:tr w14:paraId="7D479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  <w:jc w:val="center"/>
        </w:trPr>
        <w:tc>
          <w:tcPr>
            <w:tcW w:w="1021" w:type="dxa"/>
            <w:vMerge w:val="continue"/>
            <w:vAlign w:val="center"/>
          </w:tcPr>
          <w:p w14:paraId="67B4EA1C">
            <w:pPr>
              <w:spacing w:line="360" w:lineRule="auto"/>
              <w:jc w:val="left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6" w:type="dxa"/>
            <w:vAlign w:val="center"/>
          </w:tcPr>
          <w:p w14:paraId="30611A47">
            <w:pPr>
              <w:spacing w:line="360" w:lineRule="auto"/>
              <w:rPr>
                <w:rFonts w:hint="default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FFFFFF"/>
                <w:lang w:val="en-US" w:eastAsia="zh-CN"/>
              </w:rPr>
              <w:t>资格条件</w:t>
            </w:r>
          </w:p>
        </w:tc>
        <w:tc>
          <w:tcPr>
            <w:tcW w:w="6100" w:type="dxa"/>
            <w:vAlign w:val="center"/>
          </w:tcPr>
          <w:p w14:paraId="41749908">
            <w:pPr>
              <w:spacing w:line="360" w:lineRule="auto"/>
              <w:rPr>
                <w:rFonts w:ascii="仿宋" w:hAnsi="仿宋" w:eastAsia="仿宋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  <w:lang w:val="en-US" w:eastAsia="zh-CN"/>
              </w:rPr>
              <w:t>须具有工程咨询单位资信证书，其中资信等级为乙级及以上。</w:t>
            </w:r>
          </w:p>
        </w:tc>
      </w:tr>
      <w:tr w14:paraId="35BC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2707" w:type="dxa"/>
            <w:gridSpan w:val="2"/>
            <w:vAlign w:val="center"/>
          </w:tcPr>
          <w:p w14:paraId="58DA1094">
            <w:pPr>
              <w:spacing w:line="360" w:lineRule="auto"/>
              <w:jc w:val="center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分值构成</w:t>
            </w:r>
          </w:p>
          <w:p w14:paraId="31CAE8AA">
            <w:pPr>
              <w:spacing w:line="360" w:lineRule="auto"/>
              <w:jc w:val="center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  <w:t>(总分100分)</w:t>
            </w:r>
          </w:p>
        </w:tc>
        <w:tc>
          <w:tcPr>
            <w:tcW w:w="6100" w:type="dxa"/>
            <w:vAlign w:val="center"/>
          </w:tcPr>
          <w:p w14:paraId="6B01CEFE">
            <w:pPr>
              <w:spacing w:line="360" w:lineRule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技术服务方案：70分</w:t>
            </w:r>
          </w:p>
          <w:p w14:paraId="4ECF861C">
            <w:pPr>
              <w:spacing w:line="360" w:lineRule="auto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报价得分：30分</w:t>
            </w:r>
          </w:p>
        </w:tc>
      </w:tr>
      <w:tr w14:paraId="32740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707" w:type="dxa"/>
            <w:gridSpan w:val="2"/>
            <w:vAlign w:val="center"/>
          </w:tcPr>
          <w:p w14:paraId="0AFD3B4B">
            <w:pPr>
              <w:spacing w:line="360" w:lineRule="auto"/>
              <w:jc w:val="center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  <w:t>评分因素</w:t>
            </w:r>
          </w:p>
        </w:tc>
        <w:tc>
          <w:tcPr>
            <w:tcW w:w="6100" w:type="dxa"/>
            <w:vAlign w:val="center"/>
          </w:tcPr>
          <w:p w14:paraId="3A6AFFC7">
            <w:pPr>
              <w:spacing w:line="360" w:lineRule="auto"/>
              <w:jc w:val="center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24"/>
                <w:szCs w:val="24"/>
                <w:shd w:val="clear" w:color="auto" w:fill="FFFFFF"/>
              </w:rPr>
              <w:t>评分标准</w:t>
            </w:r>
          </w:p>
        </w:tc>
      </w:tr>
      <w:tr w14:paraId="69EAD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021" w:type="dxa"/>
            <w:vMerge w:val="restart"/>
            <w:vAlign w:val="center"/>
          </w:tcPr>
          <w:p w14:paraId="410B725C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686" w:type="dxa"/>
            <w:vAlign w:val="center"/>
          </w:tcPr>
          <w:p w14:paraId="4DA2E38B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技术服务方案（70分）</w:t>
            </w:r>
          </w:p>
        </w:tc>
        <w:tc>
          <w:tcPr>
            <w:tcW w:w="6100" w:type="dxa"/>
            <w:vAlign w:val="center"/>
          </w:tcPr>
          <w:p w14:paraId="3547A273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1、项目理解与需求分析（10分）</w:t>
            </w:r>
          </w:p>
          <w:p w14:paraId="51FC742C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依据对本项目建设背景、建设必要性、建设内容、行业政策要求、项目重难点的理解深度进行综合打分。</w:t>
            </w:r>
          </w:p>
          <w:p w14:paraId="1FF8E5B1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（1）对项目整体定位、政策依据、建设意义理解透彻，精准识别项目核心重难点、关键风险点，分析全面、贴合项目实际，逻辑严谨，得8（不含）-10（含）分；</w:t>
            </w:r>
          </w:p>
          <w:p w14:paraId="42C3E89E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（2）对项目基本情况、政策要求理解清晰，能够识别主要工作重点，分析内容基本贴合项目需求，无明显偏差，得5（不含）-8（含）分；</w:t>
            </w:r>
          </w:p>
          <w:p w14:paraId="34ED39F9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（3）对项目理解粗浅，需求分析片面，重难点识别不清晰，内容通用性强、针对性弱，得0（不含）-5（含）分；</w:t>
            </w:r>
          </w:p>
          <w:p w14:paraId="6B1F0DA1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（4）未提供相关分析内容或内容与本项目无关，得0分。</w:t>
            </w:r>
          </w:p>
          <w:p w14:paraId="7F5B5F63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2、总体编制思路与技术方案（18分）</w:t>
            </w:r>
          </w:p>
          <w:p w14:paraId="6188F4FC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评审比选人整体工作思路、编制框架、技术路线、编制流程的科学性、规范性、完整性，是否符合国家、行业现行编制规范及本项目专项要求。</w:t>
            </w:r>
          </w:p>
          <w:p w14:paraId="616AF7B6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（1）编制思路清晰、先进，整体框架完整规范，技术路线科学合理，完全贴合项目行业特性及编制标准，创新性、针对性强，能够全面覆盖项目全部编制内容，得14（不含）-18（含）分；</w:t>
            </w:r>
          </w:p>
          <w:p w14:paraId="1D3EA3F3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（2）编制思路清晰，框架规范，技术路线可行，符合行业编制要求，基本覆盖项目编制内容，针对性较好，无技术漏洞，得9（不含）-14（含）分；</w:t>
            </w:r>
          </w:p>
          <w:p w14:paraId="7DE18E61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（3）编制思路基本可行，框架基本完整，技术路线无明显缺陷，但针对性、创新性不足，部分内容贴合度一般，得4（不含）-9（含）分；</w:t>
            </w:r>
          </w:p>
          <w:p w14:paraId="7E855C9C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（4）编制思路混乱、框架残缺，技术路线不合理，不符合规范要求，或未提供相关方案，得0-4（含）分。</w:t>
            </w:r>
          </w:p>
          <w:p w14:paraId="596DD118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3、专项重点内容理解（16分）</w:t>
            </w:r>
          </w:p>
          <w:p w14:paraId="472186C5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针对项目核心专项内容（包括市场分析、建设方案、技术方案、节能分析、环境影响分析、社会稳定风险分析、投资估算与资金筹措、财务评价、社会效益分析等）的理解进行评审。</w:t>
            </w:r>
          </w:p>
          <w:p w14:paraId="58637DDA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（1）各专项内容理解全面、细化，专业深度充足，分析论证严谨详实，贴合项目行业特点，能够精准解决项目核心技术、经济、合规性问题，得13（不含）-16（含）分；</w:t>
            </w:r>
          </w:p>
          <w:p w14:paraId="5A2D3A90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（2）各专项内容完整，论证分析较为充分，符合编制深度要求，基本满足项目评审需求，得8（不含）-13（含）分；</w:t>
            </w:r>
          </w:p>
          <w:p w14:paraId="6ED3BAF4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（3）专项内容基本齐全，但论证较为简略，深度不足，部分内容缺乏针对性分析，得3（不含）-8（含）分；</w:t>
            </w:r>
          </w:p>
          <w:p w14:paraId="480C65C6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（4）专项内容缺失较多，论证空洞，不符合编制规范，或未提供相关内容，得0-3（含）分。</w:t>
            </w:r>
          </w:p>
          <w:p w14:paraId="712AB560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4、项目进度计划与保障措施（12分）</w:t>
            </w:r>
          </w:p>
          <w:p w14:paraId="1D146364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针对本项目制定的编制进度计划、工期安排以及进度保障、质量保障、合规保障措施的可行性、完善性。</w:t>
            </w:r>
          </w:p>
          <w:p w14:paraId="74D4ABF5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（1）进度计划科学细化、节点清晰、工期合理，完全满足项目整体推进要求；质量管控、进度保障、合规审核、纠错整改等保障措施体系完善、可落地、针对性强，得10（不含）-12（含）分；</w:t>
            </w:r>
          </w:p>
          <w:p w14:paraId="7A614B88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（2）进度计划合理，节点明确，保障措施完整可行，能够满足项目工期及质量要求，得6（不含）-10（含）分；</w:t>
            </w:r>
          </w:p>
          <w:p w14:paraId="5D96BBD6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（3）进度计划基本完整，节点粗略，保障措施基本齐全，但细化不足、针对性一般，得3（不含）-6（含）分；</w:t>
            </w:r>
          </w:p>
          <w:p w14:paraId="1309D3D0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（4）进度计划混乱、工期不合理，保障措施缺失、流于形式，或未提供相关内容，得0-3（含）分。</w:t>
            </w:r>
          </w:p>
          <w:p w14:paraId="52CACBCA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5、后续服务与配合保障方案（14分）</w:t>
            </w:r>
          </w:p>
          <w:p w14:paraId="16523369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评审后期服务能力，包括报告修改完善、评审会务配合、主管部门报审配合、答疑解惑、成果交底、后续资料补充、项目全过程技术咨询等服务内容的完整性、及时性、保障性。</w:t>
            </w:r>
          </w:p>
          <w:p w14:paraId="6B6E2BD2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（1）后续服务体系完善，服务内容全面，明确专人全程对接，报审、评审、整改、答疑等配套服务机制健全，响应及时、保障有力，完全满足项目全过程需求，得11（不含）-14（含）分；</w:t>
            </w:r>
          </w:p>
          <w:p w14:paraId="245A1D45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（2）后续服务内容齐全，服务机制清晰，能够配合完成各项后续工作，服务保障较好，得7（不含）-11（含）分；</w:t>
            </w:r>
          </w:p>
          <w:p w14:paraId="7531C659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（3）具备基本的后续服务方案，但服务内容简略、响应机制不明确，保障性一般，得3（不含）-7（含）分；</w:t>
            </w:r>
          </w:p>
          <w:p w14:paraId="3033F08A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shd w:val="clear" w:color="auto" w:fill="FFFFFF"/>
                <w:lang w:val="en-US" w:eastAsia="zh-CN"/>
              </w:rPr>
              <w:t>（4）未提供后续服务方案或服务内容缺失严重，得0-3（含）分。</w:t>
            </w:r>
          </w:p>
        </w:tc>
      </w:tr>
      <w:tr w14:paraId="0AC94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021" w:type="dxa"/>
            <w:vMerge w:val="continue"/>
            <w:vAlign w:val="center"/>
          </w:tcPr>
          <w:p w14:paraId="0D82F4E8">
            <w:pPr>
              <w:spacing w:line="360" w:lineRule="auto"/>
              <w:jc w:val="left"/>
              <w:rPr>
                <w:rFonts w:ascii="仿宋" w:hAnsi="仿宋" w:eastAsia="仿宋" w:cs="仿宋"/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6" w:type="dxa"/>
            <w:vAlign w:val="center"/>
          </w:tcPr>
          <w:p w14:paraId="2EAFAD4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报价得分（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100" w:type="dxa"/>
          </w:tcPr>
          <w:p w14:paraId="218129B3">
            <w:pPr>
              <w:pStyle w:val="4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比选申请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人自行报价，上限为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比选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 xml:space="preserve">控制价，超过上限的报价无效。 </w:t>
            </w:r>
          </w:p>
          <w:p w14:paraId="332E6C32">
            <w:pPr>
              <w:spacing w:line="480" w:lineRule="auto"/>
              <w:ind w:firstLine="480" w:firstLineChars="200"/>
              <w:rPr>
                <w:rFonts w:hint="eastAsia" w:ascii="宋体" w:hAnsi="宋体" w:eastAsia="宋体" w:cs="宋体"/>
                <w:color w:val="FF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仿宋" w:hAnsi="仿宋" w:eastAsia="仿宋" w:cs="仿宋"/>
                <w:kern w:val="1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基准价：</w:t>
            </w:r>
            <w:r>
              <w:rPr>
                <w:rFonts w:hint="eastAsia" w:ascii="仿宋" w:hAnsi="仿宋" w:eastAsia="仿宋" w:cs="仿宋"/>
                <w:kern w:val="1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投标报价＜比选控制价*80%的不纳入基准值计算，其余有效投标报价均纳入基准值计算范围；</w:t>
            </w:r>
          </w:p>
          <w:p w14:paraId="140947B6">
            <w:pPr>
              <w:pStyle w:val="4"/>
              <w:numPr>
                <w:ilvl w:val="0"/>
                <w:numId w:val="1"/>
              </w:numPr>
              <w:spacing w:line="360" w:lineRule="auto"/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取剩余有效报价的平均值为基准价。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计算求得的最终基准价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即为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C值。</w:t>
            </w:r>
          </w:p>
          <w:p w14:paraId="4981C3E0">
            <w:pPr>
              <w:pStyle w:val="4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2、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偏差率=100%×（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报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价－基准价）/基准价，偏差率保留2位小数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。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 xml:space="preserve"> </w:t>
            </w:r>
          </w:p>
          <w:p w14:paraId="45B02BD5">
            <w:pPr>
              <w:pStyle w:val="4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、报价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 xml:space="preserve">得分（保留两位小数）计算公式示例： </w:t>
            </w:r>
          </w:p>
          <w:p w14:paraId="334BCAAD">
            <w:pPr>
              <w:pStyle w:val="4"/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（1）如果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比选申请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人的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报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价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≥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基准价，则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报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价得分=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30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－偏差率×100×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0.2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 xml:space="preserve">； </w:t>
            </w:r>
          </w:p>
          <w:p w14:paraId="1B7424F0">
            <w:pPr>
              <w:pStyle w:val="4"/>
              <w:spacing w:line="360" w:lineRule="auto"/>
              <w:rPr>
                <w:rFonts w:hint="eastAsia" w:ascii="仿宋" w:hAnsi="仿宋" w:eastAsia="仿宋" w:cs="仿宋"/>
                <w:szCs w:val="32"/>
                <w:lang w:val="en-US"/>
              </w:rPr>
            </w:pP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（2）如果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比选申请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人的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报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价＜基准价，则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报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价得分=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30</w:t>
            </w:r>
            <w:r>
              <w:rPr>
                <w:rFonts w:hint="default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＋偏差率×100×</w:t>
            </w:r>
            <w:r>
              <w:rPr>
                <w:rFonts w:hint="eastAsia" w:ascii="仿宋" w:hAnsi="仿宋" w:eastAsia="仿宋" w:cs="仿宋"/>
                <w:szCs w:val="24"/>
                <w:highlight w:val="none"/>
                <w:shd w:val="clear" w:color="auto" w:fill="FFFFFF"/>
                <w:lang w:val="en-US" w:eastAsia="zh-CN"/>
              </w:rPr>
              <w:t>0.1</w:t>
            </w:r>
          </w:p>
        </w:tc>
      </w:tr>
    </w:tbl>
    <w:p w14:paraId="5B26FCEE"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741F77"/>
    <w:multiLevelType w:val="singleLevel"/>
    <w:tmpl w:val="18741F7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xNmVjODc0OTVkZjhmZTE1ZTE3M2M5ZTRhMWIwMGMifQ=="/>
    <w:docVar w:name="KSO_WPS_MARK_KEY" w:val="4892671d-309a-4982-acfa-5e26fe8de263"/>
  </w:docVars>
  <w:rsids>
    <w:rsidRoot w:val="12695677"/>
    <w:rsid w:val="00EA40E8"/>
    <w:rsid w:val="060379FA"/>
    <w:rsid w:val="0B8D66E4"/>
    <w:rsid w:val="0F5F5CA1"/>
    <w:rsid w:val="115B06EA"/>
    <w:rsid w:val="12695677"/>
    <w:rsid w:val="151D55BB"/>
    <w:rsid w:val="154717B3"/>
    <w:rsid w:val="16FF5B08"/>
    <w:rsid w:val="185D11EC"/>
    <w:rsid w:val="19742C91"/>
    <w:rsid w:val="1997072D"/>
    <w:rsid w:val="1E0C793C"/>
    <w:rsid w:val="201163AE"/>
    <w:rsid w:val="20E73D48"/>
    <w:rsid w:val="22394A78"/>
    <w:rsid w:val="22A20E20"/>
    <w:rsid w:val="245C2C9F"/>
    <w:rsid w:val="265341BF"/>
    <w:rsid w:val="2BF81500"/>
    <w:rsid w:val="30F524B2"/>
    <w:rsid w:val="310F3573"/>
    <w:rsid w:val="31210BB1"/>
    <w:rsid w:val="323B5CA2"/>
    <w:rsid w:val="35C054CD"/>
    <w:rsid w:val="38B545E2"/>
    <w:rsid w:val="3A655FB2"/>
    <w:rsid w:val="3CD45671"/>
    <w:rsid w:val="3D536596"/>
    <w:rsid w:val="3F013A4E"/>
    <w:rsid w:val="40263E71"/>
    <w:rsid w:val="4B6D116B"/>
    <w:rsid w:val="4CAD5597"/>
    <w:rsid w:val="4D227D33"/>
    <w:rsid w:val="4D261B47"/>
    <w:rsid w:val="511A58F1"/>
    <w:rsid w:val="52447CCC"/>
    <w:rsid w:val="5BDA6E68"/>
    <w:rsid w:val="5E602469"/>
    <w:rsid w:val="5F4F411F"/>
    <w:rsid w:val="5FA6034F"/>
    <w:rsid w:val="5FCF3D4A"/>
    <w:rsid w:val="623A60A0"/>
    <w:rsid w:val="644C4093"/>
    <w:rsid w:val="64EF6809"/>
    <w:rsid w:val="65F8742B"/>
    <w:rsid w:val="666C41A1"/>
    <w:rsid w:val="69D32689"/>
    <w:rsid w:val="6A8B74AC"/>
    <w:rsid w:val="6CAB169B"/>
    <w:rsid w:val="6D6F4B97"/>
    <w:rsid w:val="6DFA4492"/>
    <w:rsid w:val="6E511DCE"/>
    <w:rsid w:val="6ED94165"/>
    <w:rsid w:val="71C218DA"/>
    <w:rsid w:val="73726A6F"/>
    <w:rsid w:val="74085625"/>
    <w:rsid w:val="74D177C5"/>
    <w:rsid w:val="76F37EC6"/>
    <w:rsid w:val="7B3867F0"/>
    <w:rsid w:val="7BD302C6"/>
    <w:rsid w:val="7D0B583E"/>
    <w:rsid w:val="7D160888"/>
    <w:rsid w:val="7F705372"/>
    <w:rsid w:val="7F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3">
    <w:name w:val="heading 6"/>
    <w:basedOn w:val="1"/>
    <w:next w:val="1"/>
    <w:qFormat/>
    <w:uiPriority w:val="1"/>
    <w:pPr>
      <w:spacing w:before="102"/>
      <w:ind w:left="578" w:firstLine="559"/>
      <w:outlineLvl w:val="5"/>
    </w:pPr>
    <w:rPr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3"/>
    <w:basedOn w:val="1"/>
    <w:qFormat/>
    <w:uiPriority w:val="0"/>
    <w:rPr>
      <w:rFonts w:ascii="宋体" w:hAnsi="宋体"/>
      <w:kern w:val="1"/>
      <w:sz w:val="24"/>
      <w:szCs w:val="20"/>
      <w:lang w:val="zh-CN"/>
    </w:rPr>
  </w:style>
  <w:style w:type="paragraph" w:styleId="5">
    <w:name w:val="Body Text"/>
    <w:basedOn w:val="1"/>
    <w:next w:val="1"/>
    <w:qFormat/>
    <w:uiPriority w:val="0"/>
    <w:rPr>
      <w:rFonts w:ascii="宋体" w:hAnsi="Arial"/>
      <w:sz w:val="28"/>
      <w:szCs w:val="20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482</Words>
  <Characters>487</Characters>
  <Lines>0</Lines>
  <Paragraphs>0</Paragraphs>
  <TotalTime>14</TotalTime>
  <ScaleCrop>false</ScaleCrop>
  <LinksUpToDate>false</LinksUpToDate>
  <CharactersWithSpaces>648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2024-01-23T09:36:00Z</dcterms:created>
  <dc:creator>刘钦志</dc:creator>
  <cp:lastModifiedBy>忘却</cp:lastModifiedBy>
  <cp:lastPrinted>2026-06-23T03:52:00Z</cp:lastPrinted>
  <dcterms:modified xsi:type="dcterms:W3CDTF">2026-07-27T00:53:29Z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7D3511CA4D7D4E359DCAA44533EB970C_13</vt:lpwstr>
  </property>
  <property fmtid="{D5CDD505-2E9C-101B-9397-08002B2CF9AE}" pid="4" name="KSOTemplateDocerSaveRecord">
    <vt:lpwstr>eyJoZGlkIjoiMzQ4ZDcxZTFiZTdlY2RiYzE2ZWYzY2Y4YjJlYWMwMDYiLCJ1c2VySWQiOiIzMzkxMTgwMzEifQ==</vt:lpwstr>
  </property>
</Properties>
</file>